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BA" w:rsidRPr="00AB605A" w:rsidRDefault="00AB605A" w:rsidP="00AB60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B605A">
        <w:rPr>
          <w:rFonts w:ascii="Times New Roman" w:hAnsi="Times New Roman" w:cs="Times New Roman"/>
          <w:b/>
          <w:sz w:val="24"/>
          <w:szCs w:val="24"/>
          <w:u w:val="single"/>
        </w:rPr>
        <w:t>Summary of Changes for the 2017-2018 Common Data Set</w:t>
      </w:r>
    </w:p>
    <w:p w:rsidR="00AB605A" w:rsidRDefault="00AB605A" w:rsidP="00AB60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5A" w:rsidRDefault="00AB605A" w:rsidP="00AB6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Graduation Rates Update in Section B</w:t>
      </w:r>
    </w:p>
    <w:p w:rsidR="00AB605A" w:rsidRDefault="00AB605A" w:rsidP="00AB605A">
      <w:pPr>
        <w:rPr>
          <w:rFonts w:ascii="Times New Roman" w:hAnsi="Times New Roman" w:cs="Times New Roman"/>
          <w:b/>
        </w:rPr>
      </w:pPr>
    </w:p>
    <w:p w:rsidR="00AB605A" w:rsidRPr="009C4F72" w:rsidRDefault="00AB605A" w:rsidP="00AB605A">
      <w:p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 xml:space="preserve">A significant overhaul of the way in which graduation rates are reported for </w:t>
      </w:r>
      <w:proofErr w:type="gramStart"/>
      <w:r w:rsidRPr="009C4F72">
        <w:rPr>
          <w:rFonts w:ascii="Times New Roman" w:hAnsi="Times New Roman" w:cs="Times New Roman"/>
          <w:i/>
        </w:rPr>
        <w:t>bachelor’s</w:t>
      </w:r>
      <w:proofErr w:type="gramEnd"/>
      <w:r w:rsidRPr="009C4F72">
        <w:rPr>
          <w:rFonts w:ascii="Times New Roman" w:hAnsi="Times New Roman" w:cs="Times New Roman"/>
          <w:i/>
        </w:rPr>
        <w:t xml:space="preserve"> and other equivalent programs has been implemented.</w:t>
      </w:r>
      <w:r w:rsidR="009C4F72">
        <w:rPr>
          <w:rFonts w:ascii="Times New Roman" w:hAnsi="Times New Roman" w:cs="Times New Roman"/>
          <w:i/>
        </w:rPr>
        <w:t xml:space="preserve"> No changes have been made to the reporting for two-year programs.</w:t>
      </w:r>
      <w:r w:rsidRPr="009C4F72">
        <w:rPr>
          <w:rFonts w:ascii="Times New Roman" w:hAnsi="Times New Roman" w:cs="Times New Roman"/>
          <w:i/>
        </w:rPr>
        <w:t xml:space="preserve"> Going forward, the CDS will ask you to disaggregate the cohorts that previously appeared in B4-B11 into the following four groups:</w:t>
      </w:r>
    </w:p>
    <w:p w:rsidR="00AB605A" w:rsidRPr="009C4F72" w:rsidRDefault="00AB605A" w:rsidP="00AB6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>Students who received a Federal Pell Grant</w:t>
      </w:r>
    </w:p>
    <w:p w:rsidR="00AB605A" w:rsidRPr="009C4F72" w:rsidRDefault="00AB605A" w:rsidP="00AB6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>Students who received a subsidized Stafford Loan who did not received a Pell Grant</w:t>
      </w:r>
    </w:p>
    <w:p w:rsidR="00AB605A" w:rsidRPr="009C4F72" w:rsidRDefault="00AB605A" w:rsidP="00AB6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>Students who did not receive either a subsidized Stafford Loan or a Pell Grant</w:t>
      </w:r>
    </w:p>
    <w:p w:rsidR="00AB605A" w:rsidRPr="009C4F72" w:rsidRDefault="00AB605A" w:rsidP="00AB60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>Total (all students regardless of Stafford Loan or Pell Grant status)</w:t>
      </w:r>
    </w:p>
    <w:p w:rsidR="00AB605A" w:rsidRPr="009C4F72" w:rsidRDefault="00AB605A" w:rsidP="00AB605A">
      <w:p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 xml:space="preserve">On the 2017-2018 CDS, this revised section appears </w:t>
      </w:r>
      <w:r w:rsidR="009C4F72" w:rsidRPr="009C4F72">
        <w:rPr>
          <w:rFonts w:ascii="Times New Roman" w:hAnsi="Times New Roman" w:cs="Times New Roman"/>
          <w:i/>
        </w:rPr>
        <w:t>as below</w:t>
      </w:r>
      <w:r w:rsidRPr="009C4F72">
        <w:rPr>
          <w:rFonts w:ascii="Times New Roman" w:hAnsi="Times New Roman" w:cs="Times New Roman"/>
          <w:i/>
        </w:rPr>
        <w:t>:</w:t>
      </w:r>
    </w:p>
    <w:p w:rsidR="00AB605A" w:rsidRDefault="00AB605A" w:rsidP="00AB605A">
      <w:pPr>
        <w:rPr>
          <w:rFonts w:ascii="Times New Roman" w:hAnsi="Times New Roman" w:cs="Times New Roman"/>
        </w:rPr>
      </w:pPr>
    </w:p>
    <w:p w:rsidR="00AB605A" w:rsidRDefault="00AB605A" w:rsidP="00AB605A">
      <w:pPr>
        <w:rPr>
          <w:b/>
          <w:bCs/>
          <w:color w:val="000000"/>
        </w:rPr>
      </w:pPr>
      <w:r w:rsidRPr="009523CB">
        <w:rPr>
          <w:b/>
          <w:bCs/>
          <w:color w:val="000000"/>
        </w:rPr>
        <w:t>Graduation Rates</w:t>
      </w:r>
    </w:p>
    <w:p w:rsidR="00AB605A" w:rsidRPr="009523CB" w:rsidRDefault="00AB605A" w:rsidP="00AB605A">
      <w:pPr>
        <w:rPr>
          <w:b/>
          <w:bCs/>
          <w:color w:val="000000"/>
        </w:rPr>
      </w:pPr>
      <w:r>
        <w:rPr>
          <w:color w:val="000000"/>
        </w:rPr>
        <w:t xml:space="preserve">The items in this section correspond to data elements collected by the </w:t>
      </w:r>
      <w:r>
        <w:t>IPEDS Web-based Data Collection System’s</w:t>
      </w:r>
      <w:r>
        <w:rPr>
          <w:color w:val="000000"/>
        </w:rPr>
        <w:t xml:space="preserve"> Graduation Rate Survey (GRS).  For complete instructions and definitions of data elements, see the IPEDS GRS Forms and Instructions for the 2017-18 Survey.</w:t>
      </w:r>
    </w:p>
    <w:p w:rsidR="00AB605A" w:rsidRPr="007D1E84" w:rsidRDefault="00AB605A" w:rsidP="00AB605A">
      <w:pPr>
        <w:shd w:val="clear" w:color="auto" w:fill="FFFFFF"/>
        <w:spacing w:before="100" w:beforeAutospacing="1" w:after="100" w:afterAutospacing="1"/>
        <w:outlineLvl w:val="3"/>
      </w:pPr>
      <w:r w:rsidRPr="007D1E84">
        <w:rPr>
          <w:color w:val="333333"/>
        </w:rPr>
        <w:t>In the following section</w:t>
      </w:r>
      <w:r>
        <w:rPr>
          <w:color w:val="333333"/>
        </w:rPr>
        <w:t xml:space="preserve"> for bachelor’s or equivalent programs</w:t>
      </w:r>
      <w:r w:rsidRPr="007D1E84">
        <w:rPr>
          <w:color w:val="333333"/>
        </w:rPr>
        <w:t xml:space="preserve">, please disaggregate the </w:t>
      </w:r>
      <w:proofErr w:type="gramStart"/>
      <w:r w:rsidRPr="007D1E84">
        <w:rPr>
          <w:color w:val="333333"/>
        </w:rPr>
        <w:t>Fall</w:t>
      </w:r>
      <w:proofErr w:type="gramEnd"/>
      <w:r w:rsidRPr="007D1E84">
        <w:rPr>
          <w:color w:val="333333"/>
        </w:rPr>
        <w:t xml:space="preserve"> 2010 and Fall 2011 cohort</w:t>
      </w:r>
      <w:r>
        <w:rPr>
          <w:color w:val="333333"/>
        </w:rPr>
        <w:t>s</w:t>
      </w:r>
      <w:r w:rsidRPr="007D1E84">
        <w:rPr>
          <w:color w:val="333333"/>
        </w:rPr>
        <w:t xml:space="preserve"> (formerly CDS B4-B11) into four groups:</w:t>
      </w:r>
    </w:p>
    <w:p w:rsidR="00AB605A" w:rsidRPr="007D1E84" w:rsidRDefault="00AB605A" w:rsidP="00AB605A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b/>
          <w:bCs/>
          <w:color w:val="333333"/>
        </w:rPr>
      </w:pPr>
      <w:r w:rsidRPr="007D1E84">
        <w:rPr>
          <w:b/>
          <w:bCs/>
          <w:color w:val="333333"/>
        </w:rPr>
        <w:t>Students who received a Federal Pell Grant</w:t>
      </w:r>
      <w:r>
        <w:rPr>
          <w:b/>
          <w:bCs/>
          <w:color w:val="333333"/>
        </w:rPr>
        <w:t>*</w:t>
      </w:r>
    </w:p>
    <w:p w:rsidR="00AB605A" w:rsidRPr="007D1E84" w:rsidRDefault="00AB605A" w:rsidP="00AB605A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b/>
          <w:bCs/>
          <w:color w:val="333333"/>
        </w:rPr>
      </w:pPr>
      <w:r w:rsidRPr="007D1E84">
        <w:rPr>
          <w:b/>
          <w:bCs/>
          <w:color w:val="333333"/>
        </w:rPr>
        <w:t>Recipients of a subsidized Stafford Loan who did not receive a Pell Grant</w:t>
      </w:r>
    </w:p>
    <w:p w:rsidR="00AB605A" w:rsidRPr="007D1E84" w:rsidRDefault="00AB605A" w:rsidP="00AB605A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b/>
          <w:bCs/>
          <w:color w:val="333333"/>
        </w:rPr>
      </w:pPr>
      <w:r w:rsidRPr="007D1E84">
        <w:rPr>
          <w:b/>
          <w:bCs/>
          <w:color w:val="333333"/>
        </w:rPr>
        <w:t>Students who did not receive either a Pell Grant or a subsidized Stafford Loan</w:t>
      </w:r>
    </w:p>
    <w:p w:rsidR="00AB605A" w:rsidRPr="007D1E84" w:rsidRDefault="00AB605A" w:rsidP="00AB605A">
      <w:pPr>
        <w:numPr>
          <w:ilvl w:val="0"/>
          <w:numId w:val="3"/>
        </w:numPr>
        <w:shd w:val="clear" w:color="auto" w:fill="FFFFFF"/>
        <w:spacing w:after="0" w:line="240" w:lineRule="auto"/>
        <w:outlineLvl w:val="2"/>
        <w:rPr>
          <w:b/>
          <w:bCs/>
          <w:color w:val="333333"/>
        </w:rPr>
      </w:pPr>
      <w:r w:rsidRPr="007D1E84">
        <w:rPr>
          <w:b/>
          <w:bCs/>
          <w:color w:val="333333"/>
        </w:rPr>
        <w:t>Total (all students, regardless of Pell Grant or subsidized loan status)</w:t>
      </w:r>
    </w:p>
    <w:p w:rsidR="00AB605A" w:rsidRPr="007D1E84" w:rsidRDefault="00AB605A" w:rsidP="00AB605A">
      <w:pPr>
        <w:shd w:val="clear" w:color="auto" w:fill="FFFFFF"/>
        <w:spacing w:before="100" w:beforeAutospacing="1" w:after="100" w:afterAutospacing="1"/>
        <w:outlineLvl w:val="3"/>
        <w:rPr>
          <w:color w:val="333333"/>
        </w:rPr>
      </w:pPr>
      <w:r>
        <w:rPr>
          <w:color w:val="333333"/>
        </w:rPr>
        <w:t>*</w:t>
      </w:r>
      <w:r w:rsidRPr="007D1E84">
        <w:rPr>
          <w:color w:val="333333"/>
        </w:rPr>
        <w:t xml:space="preserve">Students who received both a </w:t>
      </w:r>
      <w:r>
        <w:rPr>
          <w:color w:val="333333"/>
        </w:rPr>
        <w:t xml:space="preserve">Federal </w:t>
      </w:r>
      <w:r w:rsidRPr="007D1E84">
        <w:rPr>
          <w:color w:val="333333"/>
        </w:rPr>
        <w:t>Pell Grant and a subsidized Stafford Loan should be reported in the "Recipients of a Federal Pell Grant" column.</w:t>
      </w:r>
    </w:p>
    <w:p w:rsidR="00AB605A" w:rsidRPr="007D1E84" w:rsidRDefault="00AB605A" w:rsidP="00AB605A">
      <w:pPr>
        <w:shd w:val="clear" w:color="auto" w:fill="FFFFFF"/>
        <w:spacing w:before="100" w:beforeAutospacing="1" w:after="100" w:afterAutospacing="1"/>
        <w:outlineLvl w:val="3"/>
        <w:rPr>
          <w:color w:val="333333"/>
        </w:rPr>
      </w:pPr>
      <w:r w:rsidRPr="007D1E84">
        <w:rPr>
          <w:color w:val="333333"/>
        </w:rPr>
        <w:t xml:space="preserve">For </w:t>
      </w:r>
      <w:r>
        <w:rPr>
          <w:color w:val="333333"/>
        </w:rPr>
        <w:t>each</w:t>
      </w:r>
      <w:r w:rsidRPr="007D1E84">
        <w:rPr>
          <w:color w:val="333333"/>
        </w:rPr>
        <w:t xml:space="preserve"> graduation rate grid</w:t>
      </w:r>
      <w:r>
        <w:rPr>
          <w:color w:val="333333"/>
        </w:rPr>
        <w:t xml:space="preserve"> below</w:t>
      </w:r>
      <w:r w:rsidRPr="007D1E84">
        <w:rPr>
          <w:color w:val="333333"/>
        </w:rPr>
        <w:t xml:space="preserve">, the </w:t>
      </w:r>
      <w:r>
        <w:rPr>
          <w:color w:val="333333"/>
        </w:rPr>
        <w:t>numbers in</w:t>
      </w:r>
      <w:r w:rsidRPr="007D1E84">
        <w:rPr>
          <w:color w:val="333333"/>
        </w:rPr>
        <w:t xml:space="preserve"> the first three columns </w:t>
      </w:r>
      <w:r>
        <w:rPr>
          <w:color w:val="333333"/>
        </w:rPr>
        <w:t xml:space="preserve">for </w:t>
      </w:r>
      <w:r w:rsidRPr="007D1E84">
        <w:rPr>
          <w:color w:val="333333"/>
        </w:rPr>
        <w:t>Question</w:t>
      </w:r>
      <w:r>
        <w:rPr>
          <w:color w:val="333333"/>
        </w:rPr>
        <w:t>s</w:t>
      </w:r>
      <w:r w:rsidRPr="007D1E84">
        <w:rPr>
          <w:color w:val="333333"/>
        </w:rPr>
        <w:t xml:space="preserve"> A-G should </w:t>
      </w:r>
      <w:r>
        <w:rPr>
          <w:color w:val="333333"/>
        </w:rPr>
        <w:t xml:space="preserve">sum to the </w:t>
      </w:r>
      <w:r w:rsidRPr="007D1E84">
        <w:rPr>
          <w:color w:val="333333"/>
        </w:rPr>
        <w:t>cohort total in the fourth column (formerly CDS B4-B11).</w:t>
      </w:r>
    </w:p>
    <w:p w:rsidR="00AB605A" w:rsidRPr="007D1E84" w:rsidRDefault="00AB605A" w:rsidP="00AB605A">
      <w:pPr>
        <w:rPr>
          <w:color w:val="000000"/>
        </w:rPr>
      </w:pPr>
    </w:p>
    <w:p w:rsidR="00AB605A" w:rsidRPr="009523CB" w:rsidRDefault="00AB605A" w:rsidP="00AB605A">
      <w:pPr>
        <w:jc w:val="center"/>
        <w:rPr>
          <w:b/>
          <w:bCs/>
          <w:color w:val="000000"/>
        </w:rPr>
      </w:pPr>
      <w:r w:rsidRPr="009523CB">
        <w:rPr>
          <w:b/>
          <w:bCs/>
          <w:color w:val="000000"/>
        </w:rPr>
        <w:t>For Bachelor’s or Equivalent Programs</w:t>
      </w:r>
    </w:p>
    <w:p w:rsidR="00AB605A" w:rsidRPr="009523CB" w:rsidRDefault="00AB605A" w:rsidP="00AB605A">
      <w:pPr>
        <w:rPr>
          <w:color w:val="000000"/>
        </w:rPr>
      </w:pPr>
    </w:p>
    <w:p w:rsidR="00AB605A" w:rsidRPr="009523CB" w:rsidRDefault="00AB605A" w:rsidP="00AB605A">
      <w:pPr>
        <w:rPr>
          <w:color w:val="000000"/>
        </w:rPr>
      </w:pPr>
      <w:r w:rsidRPr="009523CB">
        <w:rPr>
          <w:color w:val="000000"/>
        </w:rPr>
        <w:t xml:space="preserve">Please provide data for the </w:t>
      </w:r>
      <w:proofErr w:type="gramStart"/>
      <w:r w:rsidRPr="009523CB">
        <w:rPr>
          <w:color w:val="000000"/>
        </w:rPr>
        <w:t>Fall</w:t>
      </w:r>
      <w:proofErr w:type="gramEnd"/>
      <w:r w:rsidRPr="009523CB">
        <w:rPr>
          <w:color w:val="000000"/>
        </w:rPr>
        <w:t xml:space="preserve"> </w:t>
      </w:r>
      <w:r>
        <w:rPr>
          <w:color w:val="000000"/>
        </w:rPr>
        <w:t>2011</w:t>
      </w:r>
      <w:r w:rsidRPr="009523CB">
        <w:rPr>
          <w:color w:val="000000"/>
        </w:rPr>
        <w:t xml:space="preserve"> cohort if available. If </w:t>
      </w:r>
      <w:proofErr w:type="gramStart"/>
      <w:r w:rsidRPr="009523CB">
        <w:rPr>
          <w:color w:val="000000"/>
        </w:rPr>
        <w:t>Fall</w:t>
      </w:r>
      <w:proofErr w:type="gramEnd"/>
      <w:r w:rsidRPr="009523CB">
        <w:rPr>
          <w:color w:val="000000"/>
        </w:rPr>
        <w:t xml:space="preserve"> </w:t>
      </w:r>
      <w:r>
        <w:rPr>
          <w:color w:val="000000"/>
        </w:rPr>
        <w:t>2011</w:t>
      </w:r>
      <w:r w:rsidRPr="009523CB">
        <w:rPr>
          <w:color w:val="000000"/>
        </w:rPr>
        <w:t xml:space="preserve"> cohort data are not available, provide data for the Fall </w:t>
      </w:r>
      <w:r>
        <w:rPr>
          <w:color w:val="000000"/>
        </w:rPr>
        <w:t>2010</w:t>
      </w:r>
      <w:r w:rsidRPr="009523CB">
        <w:rPr>
          <w:color w:val="000000"/>
        </w:rPr>
        <w:t xml:space="preserve"> cohort.</w:t>
      </w:r>
    </w:p>
    <w:p w:rsidR="00AB605A" w:rsidRPr="009523CB" w:rsidRDefault="00AB605A" w:rsidP="00AB605A">
      <w:pPr>
        <w:rPr>
          <w:color w:val="000000"/>
        </w:rPr>
      </w:pPr>
    </w:p>
    <w:p w:rsidR="00AB605A" w:rsidRDefault="00AB605A" w:rsidP="00AB605A">
      <w:pPr>
        <w:jc w:val="center"/>
        <w:rPr>
          <w:b/>
          <w:color w:val="000000"/>
        </w:rPr>
      </w:pPr>
      <w:r>
        <w:rPr>
          <w:b/>
          <w:color w:val="000000"/>
        </w:rPr>
        <w:t>Fall 2010 Cohort</w:t>
      </w:r>
    </w:p>
    <w:p w:rsidR="00AB605A" w:rsidRDefault="00AB605A" w:rsidP="00AB605A">
      <w:pPr>
        <w:jc w:val="center"/>
        <w:rPr>
          <w:b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63"/>
        <w:gridCol w:w="1455"/>
        <w:gridCol w:w="1518"/>
        <w:gridCol w:w="1471"/>
        <w:gridCol w:w="1443"/>
      </w:tblGrid>
      <w:tr w:rsidR="00AB605A" w:rsidTr="001972E4">
        <w:tc>
          <w:tcPr>
            <w:tcW w:w="3888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Recipients of a Federal Pell Grant</w:t>
            </w:r>
          </w:p>
        </w:tc>
        <w:tc>
          <w:tcPr>
            <w:tcW w:w="160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Recipients of a Subsidized Stafford Loan who did not receive a Pell Grant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Students who did not receive either a Pell Grant or a subsidized Stafford Loan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(sum of 3 columns to the left)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 w:rsidRPr="009F6931">
              <w:rPr>
                <w:b/>
                <w:bCs/>
                <w:color w:val="222222"/>
              </w:rPr>
              <w:t>A - Initial 2010 cohort of first-time, full-time, bachelor's (or equivalent) degree-seeking undergraduate students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B4)</w:t>
            </w:r>
          </w:p>
        </w:tc>
      </w:tr>
      <w:tr w:rsidR="00AB605A" w:rsidRPr="009F6931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 w:rsidRPr="009F6931">
              <w:rPr>
                <w:b/>
                <w:bCs/>
                <w:color w:val="222222"/>
              </w:rPr>
              <w:t>B - Of the initial 2010 cohort, how many did not persist and did not graduate for the following reasons: deceased, permanently disabled, armed forces, foreign aid service of the federal government, or official church missions; total allowable exclusions</w:t>
            </w:r>
          </w:p>
        </w:tc>
        <w:tc>
          <w:tcPr>
            <w:tcW w:w="153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Pr="009F6931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B5)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 w:rsidRPr="009F6931">
              <w:rPr>
                <w:b/>
                <w:bCs/>
                <w:color w:val="222222"/>
              </w:rPr>
              <w:t>C - Final 2010 cohort, after adjusting for allowable exclusions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B6)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 w:rsidRPr="009F6931">
              <w:rPr>
                <w:b/>
                <w:bCs/>
                <w:color w:val="222222"/>
              </w:rPr>
              <w:t>D - Of the initial 2010 cohort, how many completed the program in four years or less (by Aug. 31, 2014)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B7)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E - Of the initial 2010 cohort, how many completed the program in more than four years but in five years or less (after Aug. 31, 2014 and by Aug. 31, 2015)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B8)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F - Of the initial 2010 cohort, how many completed the program in more than five years but in six years or less (after Aug. 31, 2015 and by Aug. 31, 2016)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B9)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G - Total graduating within six years (sum of lines D, E, and F)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B10)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H - Six-year graduation rate for 2010 cohort (G divided by C)</w:t>
            </w:r>
          </w:p>
        </w:tc>
        <w:tc>
          <w:tcPr>
            <w:tcW w:w="153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60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55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53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B11)</w:t>
            </w:r>
          </w:p>
        </w:tc>
      </w:tr>
    </w:tbl>
    <w:p w:rsidR="00AB605A" w:rsidRPr="00F66067" w:rsidRDefault="00AB605A" w:rsidP="00AB605A">
      <w:pPr>
        <w:rPr>
          <w:b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Fall 2011 Cohort</w:t>
      </w:r>
    </w:p>
    <w:p w:rsidR="00AB605A" w:rsidRDefault="00AB605A" w:rsidP="00AB605A">
      <w:pPr>
        <w:ind w:left="43"/>
        <w:jc w:val="center"/>
        <w:rPr>
          <w:b/>
          <w:bCs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63"/>
        <w:gridCol w:w="1455"/>
        <w:gridCol w:w="1518"/>
        <w:gridCol w:w="1471"/>
        <w:gridCol w:w="1443"/>
      </w:tblGrid>
      <w:tr w:rsidR="00AB605A" w:rsidTr="001972E4">
        <w:tc>
          <w:tcPr>
            <w:tcW w:w="3888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Recipients of a Federal Pell Grant</w:t>
            </w:r>
          </w:p>
        </w:tc>
        <w:tc>
          <w:tcPr>
            <w:tcW w:w="160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Recipients of a Subsidized Stafford Loan who did not receive a Pell Grant</w:t>
            </w:r>
          </w:p>
        </w:tc>
        <w:tc>
          <w:tcPr>
            <w:tcW w:w="155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Students who did not receive either a Pell Grant or a subsidized Stafford Loan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(sum of 3 columns to the left)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bCs/>
                <w:color w:val="222222"/>
              </w:rPr>
              <w:t>A - Initial 2011</w:t>
            </w:r>
            <w:r w:rsidRPr="009F6931">
              <w:rPr>
                <w:b/>
                <w:bCs/>
                <w:color w:val="222222"/>
              </w:rPr>
              <w:t xml:space="preserve"> cohort of first-time, full-time, bachelor's (or equivalent) degree-seeking undergraduate students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B4)</w:t>
            </w:r>
          </w:p>
        </w:tc>
      </w:tr>
      <w:tr w:rsidR="00AB605A" w:rsidRPr="009F6931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bCs/>
                <w:color w:val="222222"/>
              </w:rPr>
              <w:t>B - Of the initial 2011</w:t>
            </w:r>
            <w:r w:rsidRPr="009F6931">
              <w:rPr>
                <w:b/>
                <w:bCs/>
                <w:color w:val="222222"/>
              </w:rPr>
              <w:t xml:space="preserve"> cohort, how many did not persist and did not graduate for the following reasons: deceased, permanently disabled, armed forces, foreign aid service of the federal government, or official church missions; total allowable exclusions</w:t>
            </w:r>
          </w:p>
        </w:tc>
        <w:tc>
          <w:tcPr>
            <w:tcW w:w="153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Pr="009F6931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B5)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bCs/>
                <w:color w:val="222222"/>
              </w:rPr>
              <w:t>C - Final 2011</w:t>
            </w:r>
            <w:r w:rsidRPr="009F6931">
              <w:rPr>
                <w:b/>
                <w:bCs/>
                <w:color w:val="222222"/>
              </w:rPr>
              <w:t xml:space="preserve"> cohort, after adjusting for allowable exclusions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B6)</w:t>
            </w:r>
          </w:p>
        </w:tc>
      </w:tr>
      <w:tr w:rsidR="00AB605A" w:rsidTr="001972E4">
        <w:tc>
          <w:tcPr>
            <w:tcW w:w="3888" w:type="dxa"/>
          </w:tcPr>
          <w:p w:rsidR="00AB605A" w:rsidRPr="009F6931" w:rsidRDefault="00AB605A" w:rsidP="001972E4">
            <w:pPr>
              <w:rPr>
                <w:b/>
                <w:color w:val="000000"/>
              </w:rPr>
            </w:pPr>
            <w:r w:rsidRPr="009F6931">
              <w:rPr>
                <w:b/>
                <w:bCs/>
                <w:color w:val="222222"/>
              </w:rPr>
              <w:t>D - Of the initial 201</w:t>
            </w:r>
            <w:r>
              <w:rPr>
                <w:b/>
                <w:bCs/>
                <w:color w:val="222222"/>
              </w:rPr>
              <w:t>1</w:t>
            </w:r>
            <w:r w:rsidRPr="009F6931">
              <w:rPr>
                <w:b/>
                <w:bCs/>
                <w:color w:val="222222"/>
              </w:rPr>
              <w:t xml:space="preserve"> cohort, how many completed the program in four</w:t>
            </w:r>
            <w:r>
              <w:rPr>
                <w:b/>
                <w:bCs/>
                <w:color w:val="222222"/>
              </w:rPr>
              <w:t xml:space="preserve"> years or less (by Aug. 31, 2015</w:t>
            </w:r>
            <w:r w:rsidRPr="009F6931">
              <w:rPr>
                <w:b/>
                <w:bCs/>
                <w:color w:val="222222"/>
              </w:rPr>
              <w:t>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B7)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E - Of the initial 2011</w:t>
            </w:r>
            <w:r w:rsidRPr="009F6931">
              <w:rPr>
                <w:b/>
                <w:bCs/>
                <w:color w:val="222222"/>
              </w:rPr>
              <w:t xml:space="preserve"> cohort, how many completed the program in more than four years but in five ye</w:t>
            </w:r>
            <w:r>
              <w:rPr>
                <w:b/>
                <w:bCs/>
                <w:color w:val="222222"/>
              </w:rPr>
              <w:t>ars or less (after Aug. 31, 2015</w:t>
            </w:r>
            <w:r w:rsidRPr="009F6931">
              <w:rPr>
                <w:b/>
                <w:bCs/>
                <w:color w:val="222222"/>
              </w:rPr>
              <w:t xml:space="preserve"> </w:t>
            </w:r>
            <w:r>
              <w:rPr>
                <w:b/>
                <w:bCs/>
                <w:color w:val="222222"/>
              </w:rPr>
              <w:t>and by Aug. 31, 2016</w:t>
            </w:r>
            <w:r w:rsidRPr="009F6931">
              <w:rPr>
                <w:b/>
                <w:bCs/>
                <w:color w:val="222222"/>
              </w:rPr>
              <w:t>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B8)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F - Of the initial 2011</w:t>
            </w:r>
            <w:r w:rsidRPr="009F6931">
              <w:rPr>
                <w:b/>
                <w:bCs/>
                <w:color w:val="222222"/>
              </w:rPr>
              <w:t xml:space="preserve"> cohort, how many completed the program in more than five years but in six years or less (after Au</w:t>
            </w:r>
            <w:r>
              <w:rPr>
                <w:b/>
                <w:bCs/>
                <w:color w:val="222222"/>
              </w:rPr>
              <w:t>g. 31, 2016 and by Aug. 31, 2017</w:t>
            </w:r>
            <w:r w:rsidRPr="009F6931">
              <w:rPr>
                <w:b/>
                <w:bCs/>
                <w:color w:val="222222"/>
              </w:rPr>
              <w:t>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B9)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G - Total graduating within six years (sum of lines D, E, and F)</w:t>
            </w: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60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5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</w:tc>
        <w:tc>
          <w:tcPr>
            <w:tcW w:w="1530" w:type="dxa"/>
          </w:tcPr>
          <w:p w:rsidR="00AB605A" w:rsidRDefault="00AB605A" w:rsidP="001972E4">
            <w:pPr>
              <w:rPr>
                <w:b/>
                <w:color w:val="000000"/>
              </w:rPr>
            </w:pP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B10)</w:t>
            </w:r>
          </w:p>
        </w:tc>
      </w:tr>
      <w:tr w:rsidR="00AB605A" w:rsidTr="001972E4">
        <w:tc>
          <w:tcPr>
            <w:tcW w:w="3888" w:type="dxa"/>
            <w:vAlign w:val="center"/>
          </w:tcPr>
          <w:p w:rsidR="00AB605A" w:rsidRPr="009F6931" w:rsidRDefault="00AB605A" w:rsidP="001972E4">
            <w:pPr>
              <w:rPr>
                <w:b/>
                <w:bCs/>
                <w:color w:val="222222"/>
              </w:rPr>
            </w:pPr>
            <w:r w:rsidRPr="009F6931">
              <w:rPr>
                <w:b/>
                <w:bCs/>
                <w:color w:val="222222"/>
              </w:rPr>
              <w:t>H - Si</w:t>
            </w:r>
            <w:r>
              <w:rPr>
                <w:b/>
                <w:bCs/>
                <w:color w:val="222222"/>
              </w:rPr>
              <w:t xml:space="preserve">x-year graduation rate for 2011 </w:t>
            </w:r>
            <w:r w:rsidRPr="009F6931">
              <w:rPr>
                <w:b/>
                <w:bCs/>
                <w:color w:val="222222"/>
              </w:rPr>
              <w:t>cohort (G divided by C)</w:t>
            </w:r>
          </w:p>
        </w:tc>
        <w:tc>
          <w:tcPr>
            <w:tcW w:w="153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60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55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530" w:type="dxa"/>
          </w:tcPr>
          <w:p w:rsidR="00AB605A" w:rsidRDefault="00AB605A" w:rsidP="001972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  <w:p w:rsidR="00AB605A" w:rsidRDefault="00AB605A" w:rsidP="001972E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(formerly B11)</w:t>
            </w:r>
          </w:p>
        </w:tc>
      </w:tr>
    </w:tbl>
    <w:p w:rsidR="00AB605A" w:rsidRDefault="00AB605A" w:rsidP="00AB605A">
      <w:pPr>
        <w:rPr>
          <w:rFonts w:ascii="Times New Roman" w:hAnsi="Times New Roman" w:cs="Times New Roman"/>
        </w:rPr>
      </w:pPr>
    </w:p>
    <w:p w:rsidR="00AB605A" w:rsidRPr="00AB605A" w:rsidRDefault="00AB605A" w:rsidP="00AB6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B605A">
        <w:rPr>
          <w:rFonts w:ascii="Times New Roman" w:hAnsi="Times New Roman" w:cs="Times New Roman"/>
          <w:b/>
        </w:rPr>
        <w:t>SAT Updates in Section C</w:t>
      </w:r>
    </w:p>
    <w:p w:rsidR="00AB605A" w:rsidRPr="009C4F72" w:rsidRDefault="00AB605A" w:rsidP="00AB605A">
      <w:pPr>
        <w:rPr>
          <w:rFonts w:ascii="Times New Roman" w:hAnsi="Times New Roman" w:cs="Times New Roman"/>
          <w:i/>
        </w:rPr>
      </w:pPr>
      <w:r w:rsidRPr="009C4F72">
        <w:rPr>
          <w:rFonts w:ascii="Times New Roman" w:hAnsi="Times New Roman" w:cs="Times New Roman"/>
          <w:i/>
        </w:rPr>
        <w:t>Section C</w:t>
      </w:r>
      <w:r w:rsidR="009C4F72" w:rsidRPr="009C4F72">
        <w:rPr>
          <w:rFonts w:ascii="Times New Roman" w:hAnsi="Times New Roman" w:cs="Times New Roman"/>
          <w:i/>
        </w:rPr>
        <w:t>9</w:t>
      </w:r>
      <w:r w:rsidRPr="009C4F72">
        <w:rPr>
          <w:rFonts w:ascii="Times New Roman" w:hAnsi="Times New Roman" w:cs="Times New Roman"/>
          <w:i/>
        </w:rPr>
        <w:t xml:space="preserve"> has been updated to reflect the changed structure and scoring of the SAT exam. Respondents have been provided instructions to convert Old SAT scores to New SAT </w:t>
      </w:r>
      <w:r w:rsidR="00A9008F">
        <w:rPr>
          <w:rFonts w:ascii="Times New Roman" w:hAnsi="Times New Roman" w:cs="Times New Roman"/>
          <w:i/>
        </w:rPr>
        <w:t>scores using the College Board c</w:t>
      </w:r>
      <w:r w:rsidRPr="009C4F72">
        <w:rPr>
          <w:rFonts w:ascii="Times New Roman" w:hAnsi="Times New Roman" w:cs="Times New Roman"/>
          <w:i/>
        </w:rPr>
        <w:t xml:space="preserve">oncordance </w:t>
      </w:r>
      <w:r w:rsidR="00A9008F">
        <w:rPr>
          <w:rFonts w:ascii="Times New Roman" w:hAnsi="Times New Roman" w:cs="Times New Roman"/>
          <w:i/>
        </w:rPr>
        <w:t>tools and t</w:t>
      </w:r>
      <w:r w:rsidRPr="009C4F72">
        <w:rPr>
          <w:rFonts w:ascii="Times New Roman" w:hAnsi="Times New Roman" w:cs="Times New Roman"/>
          <w:i/>
        </w:rPr>
        <w:t>able. On the 2017-2018 CDS, this revised section</w:t>
      </w:r>
      <w:r w:rsidR="009C4F72" w:rsidRPr="009C4F72">
        <w:rPr>
          <w:rFonts w:ascii="Times New Roman" w:hAnsi="Times New Roman" w:cs="Times New Roman"/>
          <w:i/>
        </w:rPr>
        <w:t xml:space="preserve"> appears as below</w:t>
      </w:r>
      <w:r w:rsidRPr="009C4F72">
        <w:rPr>
          <w:rFonts w:ascii="Times New Roman" w:hAnsi="Times New Roman" w:cs="Times New Roman"/>
          <w:i/>
        </w:rPr>
        <w:t>:</w:t>
      </w:r>
    </w:p>
    <w:p w:rsidR="009C4F72" w:rsidRDefault="009C4F72" w:rsidP="009C4F72">
      <w:pPr>
        <w:rPr>
          <w:sz w:val="24"/>
          <w:szCs w:val="24"/>
        </w:rPr>
      </w:pPr>
      <w:r w:rsidRPr="009523CB">
        <w:rPr>
          <w:b/>
          <w:bCs/>
          <w:color w:val="000000"/>
        </w:rPr>
        <w:lastRenderedPageBreak/>
        <w:t>C9.</w:t>
      </w:r>
      <w:r w:rsidRPr="009523CB">
        <w:rPr>
          <w:color w:val="000000"/>
        </w:rPr>
        <w:tab/>
      </w:r>
      <w:r w:rsidRPr="009523CB">
        <w:rPr>
          <w:b/>
          <w:bCs/>
          <w:color w:val="000000"/>
        </w:rPr>
        <w:t xml:space="preserve">Percent and number of </w:t>
      </w:r>
      <w:proofErr w:type="gramStart"/>
      <w:r w:rsidRPr="009523CB">
        <w:rPr>
          <w:b/>
          <w:bCs/>
          <w:color w:val="000000"/>
        </w:rPr>
        <w:t>first-time</w:t>
      </w:r>
      <w:proofErr w:type="gramEnd"/>
      <w:r w:rsidRPr="009523CB">
        <w:rPr>
          <w:b/>
          <w:bCs/>
          <w:color w:val="000000"/>
        </w:rPr>
        <w:t xml:space="preserve">, first-year (freshman) students enrolled in Fall </w:t>
      </w:r>
      <w:r>
        <w:rPr>
          <w:b/>
          <w:bCs/>
          <w:color w:val="000000"/>
        </w:rPr>
        <w:t>2017</w:t>
      </w:r>
      <w:r w:rsidRPr="009523CB">
        <w:rPr>
          <w:b/>
          <w:bCs/>
          <w:color w:val="000000"/>
        </w:rPr>
        <w:t xml:space="preserve"> who submitted national standardized (SAT/ACT) test scores.  </w:t>
      </w:r>
      <w:r w:rsidRPr="009523CB">
        <w:rPr>
          <w:color w:val="000000"/>
        </w:rPr>
        <w:t xml:space="preserve">Include information for </w:t>
      </w:r>
      <w:r w:rsidRPr="009523CB">
        <w:rPr>
          <w:b/>
          <w:bCs/>
          <w:color w:val="000000"/>
        </w:rPr>
        <w:t>ALL enrolled, degree-seeking, first-time, first-year (freshman) students who submitted test scores</w:t>
      </w:r>
      <w:r w:rsidRPr="009523CB">
        <w:rPr>
          <w:color w:val="000000"/>
        </w:rPr>
        <w:t xml:space="preserve">.  Do not include partial test scores (e.g., mathematics scores but not critical reading for a category of students) or combine other standardized test results (such as TOEFL) in this item. </w:t>
      </w:r>
      <w:r w:rsidRPr="009523CB">
        <w:t xml:space="preserve">Do not convert SAT scores to ACT scores and vice versa. </w:t>
      </w:r>
      <w:r w:rsidRPr="00395ACB">
        <w:rPr>
          <w:b/>
          <w:i/>
          <w:shd w:val="clear" w:color="auto" w:fill="FFFF00"/>
        </w:rPr>
        <w:t>Do</w:t>
      </w:r>
      <w:r w:rsidRPr="00395ACB">
        <w:rPr>
          <w:shd w:val="clear" w:color="auto" w:fill="FFFF00"/>
        </w:rPr>
        <w:t xml:space="preserve"> convert Old SAT scores to New SAT scores using the College Board’s concordance tools and tables (</w:t>
      </w:r>
      <w:r w:rsidRPr="00395ACB">
        <w:rPr>
          <w:bCs/>
          <w:color w:val="1F497D"/>
          <w:u w:val="single"/>
          <w:shd w:val="clear" w:color="auto" w:fill="FFFF00"/>
        </w:rPr>
        <w:t>sat.org/concordance</w:t>
      </w:r>
      <w:r w:rsidRPr="00395ACB">
        <w:rPr>
          <w:shd w:val="clear" w:color="auto" w:fill="FFFF00"/>
        </w:rPr>
        <w:t>).</w:t>
      </w:r>
    </w:p>
    <w:p w:rsidR="009C4F72" w:rsidRDefault="009C4F72" w:rsidP="009C4F72">
      <w:pPr>
        <w:rPr>
          <w:color w:val="000000"/>
          <w:sz w:val="24"/>
          <w:szCs w:val="24"/>
        </w:rPr>
      </w:pPr>
    </w:p>
    <w:p w:rsidR="009C4F72" w:rsidRPr="009523CB" w:rsidRDefault="009C4F72" w:rsidP="009C4F72">
      <w:pPr>
        <w:tabs>
          <w:tab w:val="left" w:pos="3600"/>
          <w:tab w:val="right" w:leader="underscore" w:pos="4147"/>
        </w:tabs>
        <w:ind w:left="360"/>
        <w:rPr>
          <w:color w:val="000000"/>
        </w:rPr>
      </w:pPr>
      <w:r w:rsidRPr="009523CB">
        <w:rPr>
          <w:color w:val="000000"/>
        </w:rPr>
        <w:t>Percen</w:t>
      </w:r>
      <w:r>
        <w:rPr>
          <w:color w:val="000000"/>
        </w:rPr>
        <w:t>t submitting SAT scores</w:t>
      </w:r>
      <w:r>
        <w:rPr>
          <w:color w:val="000000"/>
        </w:rPr>
        <w:tab/>
        <w:t>_____</w:t>
      </w:r>
      <w:r>
        <w:rPr>
          <w:color w:val="000000"/>
        </w:rPr>
        <w:tab/>
      </w:r>
      <w:r>
        <w:rPr>
          <w:color w:val="000000"/>
        </w:rPr>
        <w:tab/>
      </w:r>
      <w:r w:rsidRPr="009523CB">
        <w:rPr>
          <w:color w:val="000000"/>
        </w:rPr>
        <w:t>Number submitting SAT scores</w:t>
      </w:r>
      <w:r w:rsidRPr="009523CB">
        <w:rPr>
          <w:color w:val="000000"/>
        </w:rPr>
        <w:tab/>
      </w:r>
      <w:r w:rsidRPr="009523CB">
        <w:rPr>
          <w:color w:val="000000"/>
        </w:rPr>
        <w:tab/>
        <w:t>_____</w:t>
      </w:r>
    </w:p>
    <w:p w:rsidR="009C4F72" w:rsidRPr="009523CB" w:rsidRDefault="009C4F72" w:rsidP="009C4F72">
      <w:pPr>
        <w:tabs>
          <w:tab w:val="left" w:pos="3600"/>
          <w:tab w:val="right" w:leader="underscore" w:pos="4147"/>
        </w:tabs>
        <w:ind w:left="360"/>
        <w:rPr>
          <w:color w:val="000000"/>
        </w:rPr>
      </w:pPr>
      <w:r w:rsidRPr="009523CB">
        <w:rPr>
          <w:color w:val="000000"/>
        </w:rPr>
        <w:t>Percen</w:t>
      </w:r>
      <w:r>
        <w:rPr>
          <w:color w:val="000000"/>
        </w:rPr>
        <w:t>t submitting ACT scores</w:t>
      </w:r>
      <w:r>
        <w:rPr>
          <w:color w:val="000000"/>
        </w:rPr>
        <w:tab/>
        <w:t>_____</w:t>
      </w:r>
      <w:r>
        <w:rPr>
          <w:color w:val="000000"/>
        </w:rPr>
        <w:tab/>
      </w:r>
      <w:r>
        <w:rPr>
          <w:color w:val="000000"/>
        </w:rPr>
        <w:tab/>
      </w:r>
      <w:r w:rsidRPr="009523CB">
        <w:rPr>
          <w:color w:val="000000"/>
        </w:rPr>
        <w:t>Number submitting ACT scores</w:t>
      </w:r>
      <w:r w:rsidRPr="009523CB">
        <w:rPr>
          <w:color w:val="000000"/>
        </w:rPr>
        <w:tab/>
      </w:r>
      <w:r w:rsidRPr="009523CB">
        <w:rPr>
          <w:color w:val="000000"/>
        </w:rPr>
        <w:tab/>
        <w:t>_____</w:t>
      </w:r>
    </w:p>
    <w:p w:rsidR="009C4F72" w:rsidRDefault="009C4F72" w:rsidP="009C4F72">
      <w:pPr>
        <w:rPr>
          <w:color w:val="000000"/>
        </w:rPr>
      </w:pPr>
    </w:p>
    <w:p w:rsidR="009C4F72" w:rsidRPr="007B6A5A" w:rsidRDefault="009C4F72" w:rsidP="009C4F72">
      <w:pPr>
        <w:rPr>
          <w:color w:val="000000"/>
        </w:rPr>
      </w:pPr>
      <w:r w:rsidRPr="007B6A5A">
        <w:rPr>
          <w:color w:val="000000"/>
        </w:rPr>
        <w:t>For each assessment listed below, report the score that represents the 25</w:t>
      </w:r>
      <w:r w:rsidRPr="007B6A5A">
        <w:rPr>
          <w:color w:val="000000"/>
          <w:vertAlign w:val="superscript"/>
        </w:rPr>
        <w:t>th</w:t>
      </w:r>
      <w:r w:rsidRPr="007B6A5A">
        <w:rPr>
          <w:color w:val="000000"/>
        </w:rPr>
        <w:t xml:space="preserve"> percentile (the score that 25 percent of the freshman population scored at or below) and the 75</w:t>
      </w:r>
      <w:r w:rsidRPr="007B6A5A">
        <w:rPr>
          <w:color w:val="000000"/>
          <w:vertAlign w:val="superscript"/>
        </w:rPr>
        <w:t>th</w:t>
      </w:r>
      <w:r w:rsidRPr="007B6A5A">
        <w:rPr>
          <w:color w:val="000000"/>
        </w:rPr>
        <w:t xml:space="preserve"> percentile score (the score that 25 percent scored at or above).</w:t>
      </w:r>
    </w:p>
    <w:p w:rsidR="009C4F72" w:rsidRPr="009523CB" w:rsidRDefault="009C4F72" w:rsidP="009C4F72">
      <w:pPr>
        <w:rPr>
          <w:color w:val="000000"/>
        </w:rPr>
      </w:pP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620"/>
        <w:gridCol w:w="1710"/>
      </w:tblGrid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>
              <w:rPr>
                <w:color w:val="000000"/>
              </w:rPr>
              <w:t>Assessment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jc w:val="center"/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25th Percentile</w:t>
            </w:r>
            <w:r>
              <w:rPr>
                <w:b/>
                <w:bCs/>
                <w:color w:val="000000"/>
              </w:rPr>
              <w:t xml:space="preserve"> Score</w:t>
            </w:r>
          </w:p>
        </w:tc>
        <w:tc>
          <w:tcPr>
            <w:tcW w:w="1710" w:type="dxa"/>
          </w:tcPr>
          <w:p w:rsidR="009C4F72" w:rsidRPr="009523CB" w:rsidRDefault="009C4F72" w:rsidP="001972E4">
            <w:pPr>
              <w:jc w:val="center"/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75th Percentile</w:t>
            </w:r>
            <w:r>
              <w:rPr>
                <w:b/>
                <w:bCs/>
                <w:color w:val="000000"/>
              </w:rPr>
              <w:t xml:space="preserve"> Score</w:t>
            </w: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 xml:space="preserve">SAT </w:t>
            </w:r>
            <w:r>
              <w:rPr>
                <w:color w:val="000000"/>
              </w:rPr>
              <w:t>Evidence-Based Reading and Writing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SAT Math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SAT Essay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ACT Composite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ACT Math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ACT English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2160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ACT Writing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71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</w:tbl>
    <w:p w:rsidR="009C4F72" w:rsidRDefault="009C4F72" w:rsidP="009C4F72">
      <w:pPr>
        <w:tabs>
          <w:tab w:val="left" w:pos="4860"/>
          <w:tab w:val="right" w:leader="underscore" w:pos="5400"/>
        </w:tabs>
        <w:spacing w:after="240"/>
        <w:ind w:left="360"/>
        <w:rPr>
          <w:color w:val="000000"/>
        </w:rPr>
      </w:pPr>
    </w:p>
    <w:p w:rsidR="009C4F72" w:rsidRPr="009523CB" w:rsidRDefault="009C4F72" w:rsidP="009C4F72">
      <w:pPr>
        <w:tabs>
          <w:tab w:val="left" w:pos="4860"/>
          <w:tab w:val="right" w:leader="underscore" w:pos="5400"/>
        </w:tabs>
        <w:spacing w:after="240"/>
        <w:ind w:left="360"/>
        <w:rPr>
          <w:color w:val="000000"/>
        </w:rPr>
      </w:pPr>
      <w:r w:rsidRPr="009523CB">
        <w:rPr>
          <w:color w:val="000000"/>
        </w:rPr>
        <w:t>Percent of first-time, first-year (freshman) students with scores in each range:</w:t>
      </w:r>
    </w:p>
    <w:tbl>
      <w:tblPr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2275"/>
        <w:gridCol w:w="1620"/>
      </w:tblGrid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>
              <w:rPr>
                <w:color w:val="000000"/>
              </w:rPr>
              <w:t>Score Range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 xml:space="preserve">SAT </w:t>
            </w:r>
            <w:r>
              <w:rPr>
                <w:b/>
                <w:bCs/>
                <w:color w:val="000000"/>
              </w:rPr>
              <w:t>Evidence-Based Reading and Writing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SAT Math</w:t>
            </w: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700-800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600-699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500-599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400-499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300-399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200-299</w:t>
            </w:r>
          </w:p>
        </w:tc>
        <w:tc>
          <w:tcPr>
            <w:tcW w:w="2275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055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</w:p>
        </w:tc>
        <w:tc>
          <w:tcPr>
            <w:tcW w:w="2275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  <w:r w:rsidRPr="009523CB">
              <w:rPr>
                <w:color w:val="000000"/>
              </w:rPr>
              <w:t>100%</w:t>
            </w:r>
          </w:p>
        </w:tc>
        <w:tc>
          <w:tcPr>
            <w:tcW w:w="1620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  <w:r w:rsidRPr="009523CB">
              <w:rPr>
                <w:color w:val="000000"/>
              </w:rPr>
              <w:t>100%</w:t>
            </w:r>
          </w:p>
        </w:tc>
      </w:tr>
    </w:tbl>
    <w:p w:rsidR="009C4F72" w:rsidRDefault="009C4F72" w:rsidP="009C4F72">
      <w:pPr>
        <w:rPr>
          <w:b/>
          <w:bCs/>
          <w:i/>
          <w:iCs/>
          <w:color w:val="000000"/>
        </w:rPr>
      </w:pPr>
    </w:p>
    <w:p w:rsidR="009C4F72" w:rsidRDefault="009C4F72" w:rsidP="009C4F72">
      <w:pPr>
        <w:rPr>
          <w:b/>
          <w:bCs/>
          <w:i/>
          <w:iCs/>
          <w:color w:val="000000"/>
        </w:rPr>
      </w:pPr>
    </w:p>
    <w:p w:rsidR="009C4F72" w:rsidRDefault="009C4F72" w:rsidP="009C4F72">
      <w:pPr>
        <w:rPr>
          <w:b/>
          <w:bCs/>
          <w:i/>
          <w:iCs/>
          <w:color w:val="000000"/>
        </w:rPr>
      </w:pPr>
    </w:p>
    <w:p w:rsidR="009C4F72" w:rsidRDefault="009C4F72" w:rsidP="009C4F72">
      <w:pPr>
        <w:rPr>
          <w:b/>
          <w:bCs/>
          <w:i/>
          <w:iCs/>
          <w:color w:val="000000"/>
        </w:rPr>
      </w:pPr>
    </w:p>
    <w:p w:rsidR="009C4F72" w:rsidRPr="009523CB" w:rsidRDefault="009C4F72" w:rsidP="009C4F72">
      <w:pPr>
        <w:rPr>
          <w:b/>
          <w:bCs/>
          <w:i/>
          <w:iCs/>
          <w:color w:val="000000"/>
        </w:rPr>
      </w:pPr>
    </w:p>
    <w:tbl>
      <w:tblPr>
        <w:tblW w:w="0" w:type="auto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589"/>
        <w:gridCol w:w="1589"/>
        <w:gridCol w:w="1589"/>
      </w:tblGrid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>
              <w:rPr>
                <w:color w:val="000000"/>
              </w:rPr>
              <w:t>Score Range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ACT Composite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ACT English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b/>
                <w:bCs/>
                <w:color w:val="000000"/>
              </w:rPr>
            </w:pPr>
            <w:r w:rsidRPr="009523CB">
              <w:rPr>
                <w:b/>
                <w:bCs/>
                <w:color w:val="000000"/>
              </w:rPr>
              <w:t>ACT Math</w:t>
            </w: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30-36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24-29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18-23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12-17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6-11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  <w:r w:rsidRPr="009523CB">
              <w:rPr>
                <w:color w:val="000000"/>
              </w:rPr>
              <w:t>Below 6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rPr>
                <w:color w:val="000000"/>
              </w:rPr>
            </w:pPr>
          </w:p>
        </w:tc>
      </w:tr>
      <w:tr w:rsidR="009C4F72" w:rsidRPr="009523CB" w:rsidTr="001972E4"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  <w:r w:rsidRPr="009523CB">
              <w:rPr>
                <w:color w:val="000000"/>
              </w:rPr>
              <w:t>100%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  <w:r w:rsidRPr="009523CB">
              <w:rPr>
                <w:color w:val="000000"/>
              </w:rPr>
              <w:t>100%</w:t>
            </w:r>
          </w:p>
        </w:tc>
        <w:tc>
          <w:tcPr>
            <w:tcW w:w="1589" w:type="dxa"/>
          </w:tcPr>
          <w:p w:rsidR="009C4F72" w:rsidRPr="009523CB" w:rsidRDefault="009C4F72" w:rsidP="001972E4">
            <w:pPr>
              <w:jc w:val="center"/>
              <w:rPr>
                <w:color w:val="000000"/>
              </w:rPr>
            </w:pPr>
            <w:r w:rsidRPr="009523CB">
              <w:rPr>
                <w:color w:val="000000"/>
              </w:rPr>
              <w:t>100%</w:t>
            </w:r>
          </w:p>
        </w:tc>
      </w:tr>
    </w:tbl>
    <w:p w:rsidR="00AB605A" w:rsidRPr="00AB605A" w:rsidRDefault="00AB605A" w:rsidP="00AB605A">
      <w:pPr>
        <w:rPr>
          <w:rFonts w:ascii="Times New Roman" w:hAnsi="Times New Roman" w:cs="Times New Roman"/>
        </w:rPr>
      </w:pPr>
    </w:p>
    <w:sectPr w:rsidR="00AB605A" w:rsidRPr="00AB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67D5"/>
    <w:multiLevelType w:val="hybridMultilevel"/>
    <w:tmpl w:val="490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C18"/>
    <w:multiLevelType w:val="hybridMultilevel"/>
    <w:tmpl w:val="70BC71BC"/>
    <w:lvl w:ilvl="0" w:tplc="4F0E62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C4EC5"/>
    <w:multiLevelType w:val="multilevel"/>
    <w:tmpl w:val="35B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5A"/>
    <w:rsid w:val="006D4B0D"/>
    <w:rsid w:val="009C4F72"/>
    <w:rsid w:val="00A9008F"/>
    <w:rsid w:val="00AB605A"/>
    <w:rsid w:val="00C1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D4D66-D79A-4E78-9B55-92E1BA63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05A"/>
    <w:pPr>
      <w:ind w:left="720"/>
      <w:contextualSpacing/>
    </w:pPr>
  </w:style>
  <w:style w:type="table" w:styleId="TableGrid">
    <w:name w:val="Table Grid"/>
    <w:basedOn w:val="TableNormal"/>
    <w:uiPriority w:val="99"/>
    <w:rsid w:val="00AB60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Nelnet, Inc.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Gazda, Matthew</dc:creator>
  <cp:keywords/>
  <dc:description/>
  <cp:lastModifiedBy>Olson, Erin</cp:lastModifiedBy>
  <cp:revision>2</cp:revision>
  <dcterms:created xsi:type="dcterms:W3CDTF">2017-11-13T20:17:00Z</dcterms:created>
  <dcterms:modified xsi:type="dcterms:W3CDTF">2017-11-13T20:17:00Z</dcterms:modified>
</cp:coreProperties>
</file>