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599" w:rsidRPr="00841599" w:rsidRDefault="00841599" w:rsidP="00841599">
      <w:pPr>
        <w:rPr>
          <w:b/>
          <w:sz w:val="32"/>
          <w:szCs w:val="32"/>
        </w:rPr>
      </w:pPr>
      <w:r w:rsidRPr="00841599">
        <w:rPr>
          <w:b/>
          <w:sz w:val="32"/>
          <w:szCs w:val="32"/>
        </w:rPr>
        <w:t>Changes for CDS 2016-2017</w:t>
      </w:r>
    </w:p>
    <w:p w:rsidR="00841599" w:rsidRPr="00841599" w:rsidRDefault="00841599" w:rsidP="00841599">
      <w:pPr>
        <w:pStyle w:val="ListParagraph"/>
        <w:rPr>
          <w:rFonts w:ascii="Times New Roman" w:hAnsi="Times New Roman"/>
          <w:b/>
        </w:rPr>
      </w:pPr>
    </w:p>
    <w:p w:rsidR="00841599" w:rsidRPr="00841599" w:rsidRDefault="00841599" w:rsidP="00841599">
      <w:r w:rsidRPr="00841599">
        <w:t>The following changes have been initiated on the CDS for 2016-2017</w:t>
      </w:r>
      <w:r>
        <w:t>:</w:t>
      </w:r>
    </w:p>
    <w:p w:rsidR="00841599" w:rsidRPr="00841599" w:rsidRDefault="00841599" w:rsidP="00841599">
      <w:pPr>
        <w:pStyle w:val="ListParagraph"/>
        <w:rPr>
          <w:rFonts w:ascii="Times New Roman" w:hAnsi="Times New Roman"/>
          <w:b/>
          <w:sz w:val="20"/>
          <w:szCs w:val="20"/>
        </w:rPr>
      </w:pPr>
    </w:p>
    <w:p w:rsidR="00841599" w:rsidRPr="004E3CC7" w:rsidRDefault="00841599" w:rsidP="00841599">
      <w:pPr>
        <w:rPr>
          <w:b/>
          <w:sz w:val="22"/>
          <w:szCs w:val="22"/>
        </w:rPr>
      </w:pPr>
      <w:r w:rsidRPr="004E3CC7">
        <w:rPr>
          <w:b/>
          <w:sz w:val="22"/>
          <w:szCs w:val="22"/>
        </w:rPr>
        <w:t>Incremental advancement by one for year-dependent items that display an academic year</w:t>
      </w:r>
    </w:p>
    <w:p w:rsidR="00841599" w:rsidRPr="00841599" w:rsidRDefault="00841599" w:rsidP="00841599">
      <w:pPr>
        <w:pStyle w:val="ListParagraph"/>
        <w:rPr>
          <w:rFonts w:ascii="Times New Roman" w:hAnsi="Times New Roman"/>
          <w:b/>
          <w:sz w:val="20"/>
          <w:szCs w:val="20"/>
        </w:rPr>
      </w:pPr>
    </w:p>
    <w:p w:rsidR="00841599" w:rsidRPr="004E3CC7" w:rsidRDefault="004E3CC7" w:rsidP="00841599">
      <w:pPr>
        <w:rPr>
          <w:b/>
          <w:sz w:val="22"/>
          <w:szCs w:val="22"/>
        </w:rPr>
      </w:pPr>
      <w:r w:rsidRPr="004E3CC7">
        <w:rPr>
          <w:b/>
          <w:sz w:val="22"/>
          <w:szCs w:val="22"/>
        </w:rPr>
        <w:t xml:space="preserve">Section C9 (SAT/ACT Reporting) – New instructions regarding the </w:t>
      </w:r>
      <w:r w:rsidR="00567DDB">
        <w:rPr>
          <w:b/>
          <w:sz w:val="22"/>
          <w:szCs w:val="22"/>
        </w:rPr>
        <w:t>conversion of New SAT scores to Old</w:t>
      </w:r>
      <w:r>
        <w:rPr>
          <w:b/>
          <w:sz w:val="22"/>
          <w:szCs w:val="22"/>
        </w:rPr>
        <w:t xml:space="preserve"> SAT scores using the College Board’s concordance tools</w:t>
      </w:r>
    </w:p>
    <w:p w:rsidR="004E3CC7" w:rsidRDefault="004E3CC7" w:rsidP="00841599">
      <w:pPr>
        <w:rPr>
          <w:i/>
        </w:rPr>
      </w:pPr>
    </w:p>
    <w:p w:rsidR="00841599" w:rsidRPr="00841599" w:rsidRDefault="00841599" w:rsidP="00841599">
      <w:r w:rsidRPr="00841599">
        <w:rPr>
          <w:b/>
          <w:bCs/>
          <w:color w:val="000000"/>
        </w:rPr>
        <w:t xml:space="preserve">Percent and number of first-time, first-year (freshman) students enrolled in Fall 2016 who submitted national standardized (SAT/ACT) test scores.  </w:t>
      </w:r>
      <w:r w:rsidRPr="00841599">
        <w:rPr>
          <w:color w:val="000000"/>
        </w:rPr>
        <w:t xml:space="preserve">Include information for </w:t>
      </w:r>
      <w:r w:rsidRPr="00841599">
        <w:rPr>
          <w:b/>
          <w:bCs/>
          <w:color w:val="000000"/>
        </w:rPr>
        <w:t>ALL enrolled, degree-seeking, first-time, first-year (freshman) students who submitted test scores</w:t>
      </w:r>
      <w:r w:rsidRPr="00841599">
        <w:rPr>
          <w:color w:val="000000"/>
        </w:rPr>
        <w:t xml:space="preserve">.  Do not include partial test scores (e.g., mathematics scores but not critical reading for a category of students) or combine other standardized test results (such as TOEFL) in this item. </w:t>
      </w:r>
      <w:r w:rsidRPr="00841599">
        <w:t xml:space="preserve">Do not convert SAT scores to ACT scores and vice versa. </w:t>
      </w:r>
      <w:r w:rsidRPr="00841599">
        <w:rPr>
          <w:b/>
          <w:i/>
          <w:shd w:val="clear" w:color="auto" w:fill="FFFF00"/>
        </w:rPr>
        <w:t>Do</w:t>
      </w:r>
      <w:r w:rsidRPr="00841599">
        <w:rPr>
          <w:shd w:val="clear" w:color="auto" w:fill="FFFF00"/>
        </w:rPr>
        <w:t xml:space="preserve"> convert New SAT scores (2016) to Old SAT scores using the College Board’s concordance tools and tables (</w:t>
      </w:r>
      <w:r w:rsidRPr="00841599">
        <w:rPr>
          <w:bCs/>
          <w:color w:val="1F497D"/>
          <w:u w:val="single"/>
          <w:shd w:val="clear" w:color="auto" w:fill="FFFF00"/>
        </w:rPr>
        <w:t>sat.org/concordance</w:t>
      </w:r>
      <w:r w:rsidRPr="00841599">
        <w:rPr>
          <w:shd w:val="clear" w:color="auto" w:fill="FFFF00"/>
        </w:rPr>
        <w:t>).</w:t>
      </w:r>
    </w:p>
    <w:p w:rsidR="00841599" w:rsidRPr="00841599" w:rsidRDefault="00841599" w:rsidP="00841599">
      <w:pPr>
        <w:pStyle w:val="ListParagraph"/>
        <w:spacing w:after="0" w:line="240" w:lineRule="auto"/>
        <w:ind w:left="0"/>
        <w:rPr>
          <w:rFonts w:ascii="Times New Roman" w:hAnsi="Times New Roman"/>
          <w:color w:val="000000"/>
          <w:sz w:val="20"/>
          <w:szCs w:val="20"/>
        </w:rPr>
      </w:pPr>
    </w:p>
    <w:p w:rsidR="00841599" w:rsidRPr="00841599" w:rsidRDefault="00841599" w:rsidP="00841599">
      <w:pPr>
        <w:rPr>
          <w:color w:val="000000"/>
        </w:rPr>
      </w:pPr>
      <w:r w:rsidRPr="00841599">
        <w:rPr>
          <w:color w:val="000000"/>
        </w:rPr>
        <w:t>The 25th percentile is the score that 25 percent scored at or below; the 75th percentile score is the one that 25 percent scored at or above.</w:t>
      </w:r>
    </w:p>
    <w:p w:rsidR="00841599" w:rsidRPr="00841599" w:rsidRDefault="00841599" w:rsidP="00841599">
      <w:pPr>
        <w:tabs>
          <w:tab w:val="left" w:pos="3600"/>
          <w:tab w:val="right" w:leader="underscore" w:pos="4147"/>
        </w:tabs>
        <w:rPr>
          <w:color w:val="000000"/>
        </w:rPr>
      </w:pPr>
    </w:p>
    <w:p w:rsidR="00841599" w:rsidRPr="00841599" w:rsidRDefault="00841599" w:rsidP="00841599">
      <w:pPr>
        <w:tabs>
          <w:tab w:val="left" w:pos="3600"/>
          <w:tab w:val="right" w:leader="underscore" w:pos="4147"/>
        </w:tabs>
        <w:rPr>
          <w:color w:val="000000"/>
        </w:rPr>
      </w:pPr>
      <w:r w:rsidRPr="00841599">
        <w:rPr>
          <w:color w:val="000000"/>
        </w:rPr>
        <w:t>Percent submitting SAT scores</w:t>
      </w:r>
      <w:r w:rsidRPr="00841599">
        <w:rPr>
          <w:color w:val="000000"/>
        </w:rPr>
        <w:tab/>
        <w:t>_____</w:t>
      </w:r>
      <w:r w:rsidRPr="00841599">
        <w:rPr>
          <w:color w:val="000000"/>
        </w:rPr>
        <w:tab/>
      </w:r>
      <w:r w:rsidRPr="00841599">
        <w:rPr>
          <w:color w:val="000000"/>
        </w:rPr>
        <w:tab/>
        <w:t>Number submitting SAT scores</w:t>
      </w:r>
      <w:r w:rsidRPr="00841599">
        <w:rPr>
          <w:color w:val="000000"/>
        </w:rPr>
        <w:tab/>
      </w:r>
      <w:r w:rsidRPr="00841599">
        <w:rPr>
          <w:color w:val="000000"/>
        </w:rPr>
        <w:tab/>
        <w:t>_____</w:t>
      </w:r>
    </w:p>
    <w:p w:rsidR="00841599" w:rsidRPr="00841599" w:rsidRDefault="00841599" w:rsidP="00841599">
      <w:pPr>
        <w:tabs>
          <w:tab w:val="left" w:pos="3600"/>
          <w:tab w:val="right" w:leader="underscore" w:pos="4147"/>
        </w:tabs>
        <w:rPr>
          <w:color w:val="000000"/>
        </w:rPr>
      </w:pPr>
      <w:r w:rsidRPr="00841599">
        <w:rPr>
          <w:color w:val="000000"/>
        </w:rPr>
        <w:t>Percent submitting ACT scores</w:t>
      </w:r>
      <w:r w:rsidRPr="00841599">
        <w:rPr>
          <w:color w:val="000000"/>
        </w:rPr>
        <w:tab/>
        <w:t>_____</w:t>
      </w:r>
      <w:r w:rsidRPr="00841599">
        <w:rPr>
          <w:color w:val="000000"/>
        </w:rPr>
        <w:tab/>
      </w:r>
      <w:r w:rsidRPr="00841599">
        <w:rPr>
          <w:color w:val="000000"/>
        </w:rPr>
        <w:tab/>
        <w:t>Number submitting ACT scores</w:t>
      </w:r>
      <w:r w:rsidRPr="00841599">
        <w:rPr>
          <w:color w:val="000000"/>
        </w:rPr>
        <w:tab/>
      </w:r>
      <w:r w:rsidRPr="00841599">
        <w:rPr>
          <w:color w:val="000000"/>
        </w:rPr>
        <w:tab/>
        <w:t>_____</w:t>
      </w:r>
      <w:bookmarkStart w:id="0" w:name="_GoBack"/>
      <w:bookmarkEnd w:id="0"/>
    </w:p>
    <w:p w:rsidR="00841599" w:rsidRPr="00841599" w:rsidRDefault="00841599" w:rsidP="00841599">
      <w:pPr>
        <w:pStyle w:val="ListParagraph"/>
        <w:spacing w:after="0" w:line="240" w:lineRule="auto"/>
        <w:ind w:left="0"/>
        <w:rPr>
          <w:rFonts w:ascii="Times New Roman" w:hAnsi="Times New Roman"/>
          <w:color w:val="000000"/>
          <w:sz w:val="20"/>
          <w:szCs w:val="20"/>
        </w:rPr>
      </w:pPr>
    </w:p>
    <w:tbl>
      <w:tblPr>
        <w:tblW w:w="0" w:type="auto"/>
        <w:tblInd w:w="9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160"/>
        <w:gridCol w:w="1620"/>
        <w:gridCol w:w="1710"/>
      </w:tblGrid>
      <w:tr w:rsidR="00841599" w:rsidRPr="00841599" w:rsidTr="00841599">
        <w:tc>
          <w:tcPr>
            <w:tcW w:w="2160" w:type="dxa"/>
            <w:tcBorders>
              <w:top w:val="single" w:sz="6" w:space="0" w:color="000000"/>
              <w:left w:val="single" w:sz="6" w:space="0" w:color="000000"/>
              <w:bottom w:val="single" w:sz="6" w:space="0" w:color="000000"/>
              <w:right w:val="single" w:sz="6" w:space="0" w:color="000000"/>
            </w:tcBorders>
          </w:tcPr>
          <w:p w:rsidR="00841599" w:rsidRPr="00841599" w:rsidRDefault="00841599" w:rsidP="00841599">
            <w:pPr>
              <w:rPr>
                <w:color w:val="000000"/>
                <w:highlight w:val="yellow"/>
              </w:rPr>
            </w:pPr>
          </w:p>
        </w:tc>
        <w:tc>
          <w:tcPr>
            <w:tcW w:w="1620" w:type="dxa"/>
            <w:tcBorders>
              <w:top w:val="single" w:sz="6" w:space="0" w:color="000000"/>
              <w:left w:val="single" w:sz="6" w:space="0" w:color="000000"/>
              <w:bottom w:val="single" w:sz="6" w:space="0" w:color="000000"/>
              <w:right w:val="single" w:sz="6" w:space="0" w:color="000000"/>
            </w:tcBorders>
            <w:hideMark/>
          </w:tcPr>
          <w:p w:rsidR="00841599" w:rsidRPr="00841599" w:rsidRDefault="00841599" w:rsidP="00841599">
            <w:pPr>
              <w:rPr>
                <w:b/>
                <w:bCs/>
                <w:color w:val="000000"/>
                <w:highlight w:val="yellow"/>
              </w:rPr>
            </w:pPr>
            <w:r w:rsidRPr="00841599">
              <w:rPr>
                <w:b/>
                <w:bCs/>
                <w:color w:val="000000"/>
              </w:rPr>
              <w:t>25th Percentile</w:t>
            </w:r>
          </w:p>
        </w:tc>
        <w:tc>
          <w:tcPr>
            <w:tcW w:w="1710" w:type="dxa"/>
            <w:tcBorders>
              <w:top w:val="single" w:sz="6" w:space="0" w:color="000000"/>
              <w:left w:val="single" w:sz="6" w:space="0" w:color="000000"/>
              <w:bottom w:val="single" w:sz="6" w:space="0" w:color="000000"/>
              <w:right w:val="single" w:sz="6" w:space="0" w:color="000000"/>
            </w:tcBorders>
            <w:hideMark/>
          </w:tcPr>
          <w:p w:rsidR="00841599" w:rsidRPr="00841599" w:rsidRDefault="00841599" w:rsidP="00841599">
            <w:pPr>
              <w:rPr>
                <w:b/>
                <w:bCs/>
                <w:color w:val="000000"/>
                <w:highlight w:val="yellow"/>
              </w:rPr>
            </w:pPr>
            <w:r w:rsidRPr="00841599">
              <w:rPr>
                <w:b/>
                <w:bCs/>
                <w:color w:val="000000"/>
              </w:rPr>
              <w:t>75th Percentile</w:t>
            </w:r>
          </w:p>
        </w:tc>
      </w:tr>
      <w:tr w:rsidR="00841599" w:rsidRPr="00841599" w:rsidTr="00841599">
        <w:tc>
          <w:tcPr>
            <w:tcW w:w="2160" w:type="dxa"/>
            <w:tcBorders>
              <w:top w:val="single" w:sz="6" w:space="0" w:color="000000"/>
              <w:left w:val="single" w:sz="6" w:space="0" w:color="000000"/>
              <w:bottom w:val="single" w:sz="6" w:space="0" w:color="000000"/>
              <w:right w:val="single" w:sz="6" w:space="0" w:color="000000"/>
            </w:tcBorders>
            <w:hideMark/>
          </w:tcPr>
          <w:p w:rsidR="00841599" w:rsidRPr="00841599" w:rsidRDefault="00841599" w:rsidP="00841599">
            <w:pPr>
              <w:rPr>
                <w:color w:val="000000"/>
                <w:highlight w:val="yellow"/>
              </w:rPr>
            </w:pPr>
            <w:r w:rsidRPr="00841599">
              <w:rPr>
                <w:color w:val="000000"/>
              </w:rPr>
              <w:t>SAT Critical Reading</w:t>
            </w:r>
          </w:p>
        </w:tc>
        <w:tc>
          <w:tcPr>
            <w:tcW w:w="1620" w:type="dxa"/>
            <w:tcBorders>
              <w:top w:val="single" w:sz="6" w:space="0" w:color="000000"/>
              <w:left w:val="single" w:sz="6" w:space="0" w:color="000000"/>
              <w:bottom w:val="single" w:sz="6" w:space="0" w:color="000000"/>
              <w:right w:val="single" w:sz="6" w:space="0" w:color="000000"/>
            </w:tcBorders>
          </w:tcPr>
          <w:p w:rsidR="00841599" w:rsidRPr="00841599" w:rsidRDefault="00841599" w:rsidP="00841599">
            <w:pPr>
              <w:rPr>
                <w:color w:val="000000"/>
                <w:highlight w:val="yellow"/>
              </w:rPr>
            </w:pPr>
          </w:p>
        </w:tc>
        <w:tc>
          <w:tcPr>
            <w:tcW w:w="1710" w:type="dxa"/>
            <w:tcBorders>
              <w:top w:val="single" w:sz="6" w:space="0" w:color="000000"/>
              <w:left w:val="single" w:sz="6" w:space="0" w:color="000000"/>
              <w:bottom w:val="single" w:sz="6" w:space="0" w:color="000000"/>
              <w:right w:val="single" w:sz="6" w:space="0" w:color="000000"/>
            </w:tcBorders>
          </w:tcPr>
          <w:p w:rsidR="00841599" w:rsidRPr="00841599" w:rsidRDefault="00841599" w:rsidP="00841599">
            <w:pPr>
              <w:rPr>
                <w:color w:val="000000"/>
                <w:highlight w:val="yellow"/>
              </w:rPr>
            </w:pPr>
          </w:p>
        </w:tc>
      </w:tr>
      <w:tr w:rsidR="00841599" w:rsidRPr="00841599" w:rsidTr="00841599">
        <w:tc>
          <w:tcPr>
            <w:tcW w:w="2160" w:type="dxa"/>
            <w:tcBorders>
              <w:top w:val="single" w:sz="6" w:space="0" w:color="000000"/>
              <w:left w:val="single" w:sz="6" w:space="0" w:color="000000"/>
              <w:bottom w:val="single" w:sz="6" w:space="0" w:color="000000"/>
              <w:right w:val="single" w:sz="6" w:space="0" w:color="000000"/>
            </w:tcBorders>
            <w:hideMark/>
          </w:tcPr>
          <w:p w:rsidR="00841599" w:rsidRPr="00841599" w:rsidRDefault="00841599" w:rsidP="00841599">
            <w:pPr>
              <w:rPr>
                <w:color w:val="000000"/>
                <w:highlight w:val="yellow"/>
              </w:rPr>
            </w:pPr>
            <w:r w:rsidRPr="00841599">
              <w:rPr>
                <w:color w:val="000000"/>
              </w:rPr>
              <w:t>SAT Math</w:t>
            </w:r>
          </w:p>
        </w:tc>
        <w:tc>
          <w:tcPr>
            <w:tcW w:w="1620" w:type="dxa"/>
            <w:tcBorders>
              <w:top w:val="single" w:sz="6" w:space="0" w:color="000000"/>
              <w:left w:val="single" w:sz="6" w:space="0" w:color="000000"/>
              <w:bottom w:val="single" w:sz="6" w:space="0" w:color="000000"/>
              <w:right w:val="single" w:sz="6" w:space="0" w:color="000000"/>
            </w:tcBorders>
          </w:tcPr>
          <w:p w:rsidR="00841599" w:rsidRPr="00841599" w:rsidRDefault="00841599" w:rsidP="00841599">
            <w:pPr>
              <w:rPr>
                <w:color w:val="000000"/>
                <w:highlight w:val="yellow"/>
              </w:rPr>
            </w:pPr>
          </w:p>
        </w:tc>
        <w:tc>
          <w:tcPr>
            <w:tcW w:w="1710" w:type="dxa"/>
            <w:tcBorders>
              <w:top w:val="single" w:sz="6" w:space="0" w:color="000000"/>
              <w:left w:val="single" w:sz="6" w:space="0" w:color="000000"/>
              <w:bottom w:val="single" w:sz="6" w:space="0" w:color="000000"/>
              <w:right w:val="single" w:sz="6" w:space="0" w:color="000000"/>
            </w:tcBorders>
          </w:tcPr>
          <w:p w:rsidR="00841599" w:rsidRPr="00841599" w:rsidRDefault="00841599" w:rsidP="00841599">
            <w:pPr>
              <w:rPr>
                <w:color w:val="000000"/>
                <w:highlight w:val="yellow"/>
              </w:rPr>
            </w:pPr>
          </w:p>
        </w:tc>
      </w:tr>
      <w:tr w:rsidR="00841599" w:rsidRPr="00841599" w:rsidTr="00841599">
        <w:tc>
          <w:tcPr>
            <w:tcW w:w="2160" w:type="dxa"/>
            <w:tcBorders>
              <w:top w:val="single" w:sz="6" w:space="0" w:color="000000"/>
              <w:left w:val="single" w:sz="6" w:space="0" w:color="000000"/>
              <w:bottom w:val="single" w:sz="6" w:space="0" w:color="000000"/>
              <w:right w:val="single" w:sz="6" w:space="0" w:color="000000"/>
            </w:tcBorders>
            <w:hideMark/>
          </w:tcPr>
          <w:p w:rsidR="00841599" w:rsidRPr="00841599" w:rsidRDefault="00841599" w:rsidP="00841599">
            <w:pPr>
              <w:rPr>
                <w:color w:val="000000"/>
                <w:highlight w:val="yellow"/>
              </w:rPr>
            </w:pPr>
            <w:r w:rsidRPr="00841599">
              <w:rPr>
                <w:color w:val="000000"/>
              </w:rPr>
              <w:t>SAT Writing</w:t>
            </w:r>
          </w:p>
        </w:tc>
        <w:tc>
          <w:tcPr>
            <w:tcW w:w="1620" w:type="dxa"/>
            <w:tcBorders>
              <w:top w:val="single" w:sz="6" w:space="0" w:color="000000"/>
              <w:left w:val="single" w:sz="6" w:space="0" w:color="000000"/>
              <w:bottom w:val="single" w:sz="6" w:space="0" w:color="000000"/>
              <w:right w:val="single" w:sz="6" w:space="0" w:color="000000"/>
            </w:tcBorders>
          </w:tcPr>
          <w:p w:rsidR="00841599" w:rsidRPr="00841599" w:rsidRDefault="00841599" w:rsidP="00841599">
            <w:pPr>
              <w:rPr>
                <w:color w:val="000000"/>
                <w:highlight w:val="yellow"/>
              </w:rPr>
            </w:pPr>
          </w:p>
        </w:tc>
        <w:tc>
          <w:tcPr>
            <w:tcW w:w="1710" w:type="dxa"/>
            <w:tcBorders>
              <w:top w:val="single" w:sz="6" w:space="0" w:color="000000"/>
              <w:left w:val="single" w:sz="6" w:space="0" w:color="000000"/>
              <w:bottom w:val="single" w:sz="6" w:space="0" w:color="000000"/>
              <w:right w:val="single" w:sz="6" w:space="0" w:color="000000"/>
            </w:tcBorders>
          </w:tcPr>
          <w:p w:rsidR="00841599" w:rsidRPr="00841599" w:rsidRDefault="00841599" w:rsidP="00841599">
            <w:pPr>
              <w:rPr>
                <w:color w:val="000000"/>
                <w:highlight w:val="yellow"/>
              </w:rPr>
            </w:pPr>
          </w:p>
        </w:tc>
      </w:tr>
      <w:tr w:rsidR="00841599" w:rsidRPr="00841599" w:rsidTr="00841599">
        <w:tc>
          <w:tcPr>
            <w:tcW w:w="2160" w:type="dxa"/>
            <w:tcBorders>
              <w:top w:val="single" w:sz="6" w:space="0" w:color="000000"/>
              <w:left w:val="single" w:sz="6" w:space="0" w:color="000000"/>
              <w:bottom w:val="single" w:sz="6" w:space="0" w:color="000000"/>
              <w:right w:val="single" w:sz="6" w:space="0" w:color="000000"/>
            </w:tcBorders>
            <w:hideMark/>
          </w:tcPr>
          <w:p w:rsidR="00841599" w:rsidRPr="00841599" w:rsidRDefault="00841599" w:rsidP="00841599">
            <w:pPr>
              <w:rPr>
                <w:color w:val="000000"/>
              </w:rPr>
            </w:pPr>
            <w:r w:rsidRPr="00841599">
              <w:rPr>
                <w:color w:val="000000"/>
              </w:rPr>
              <w:t>SAT Essay</w:t>
            </w:r>
          </w:p>
        </w:tc>
        <w:tc>
          <w:tcPr>
            <w:tcW w:w="1620" w:type="dxa"/>
            <w:tcBorders>
              <w:top w:val="single" w:sz="6" w:space="0" w:color="000000"/>
              <w:left w:val="single" w:sz="6" w:space="0" w:color="000000"/>
              <w:bottom w:val="single" w:sz="6" w:space="0" w:color="000000"/>
              <w:right w:val="single" w:sz="6" w:space="0" w:color="000000"/>
            </w:tcBorders>
          </w:tcPr>
          <w:p w:rsidR="00841599" w:rsidRPr="00841599" w:rsidRDefault="00841599" w:rsidP="00841599">
            <w:pPr>
              <w:rPr>
                <w:color w:val="000000"/>
                <w:highlight w:val="yellow"/>
              </w:rPr>
            </w:pPr>
          </w:p>
        </w:tc>
        <w:tc>
          <w:tcPr>
            <w:tcW w:w="1710" w:type="dxa"/>
            <w:tcBorders>
              <w:top w:val="single" w:sz="6" w:space="0" w:color="000000"/>
              <w:left w:val="single" w:sz="6" w:space="0" w:color="000000"/>
              <w:bottom w:val="single" w:sz="6" w:space="0" w:color="000000"/>
              <w:right w:val="single" w:sz="6" w:space="0" w:color="000000"/>
            </w:tcBorders>
          </w:tcPr>
          <w:p w:rsidR="00841599" w:rsidRPr="00841599" w:rsidRDefault="00841599" w:rsidP="00841599">
            <w:pPr>
              <w:rPr>
                <w:color w:val="000000"/>
                <w:highlight w:val="yellow"/>
              </w:rPr>
            </w:pPr>
          </w:p>
        </w:tc>
      </w:tr>
      <w:tr w:rsidR="00841599" w:rsidRPr="00841599" w:rsidTr="00841599">
        <w:tc>
          <w:tcPr>
            <w:tcW w:w="2160" w:type="dxa"/>
            <w:tcBorders>
              <w:top w:val="single" w:sz="6" w:space="0" w:color="000000"/>
              <w:left w:val="single" w:sz="6" w:space="0" w:color="000000"/>
              <w:bottom w:val="single" w:sz="6" w:space="0" w:color="000000"/>
              <w:right w:val="single" w:sz="6" w:space="0" w:color="000000"/>
            </w:tcBorders>
            <w:hideMark/>
          </w:tcPr>
          <w:p w:rsidR="00841599" w:rsidRPr="00841599" w:rsidRDefault="00841599" w:rsidP="00841599">
            <w:pPr>
              <w:rPr>
                <w:color w:val="000000"/>
                <w:highlight w:val="yellow"/>
              </w:rPr>
            </w:pPr>
            <w:r w:rsidRPr="00841599">
              <w:rPr>
                <w:color w:val="000000"/>
              </w:rPr>
              <w:t>ACT Composite</w:t>
            </w:r>
          </w:p>
        </w:tc>
        <w:tc>
          <w:tcPr>
            <w:tcW w:w="1620" w:type="dxa"/>
            <w:tcBorders>
              <w:top w:val="single" w:sz="6" w:space="0" w:color="000000"/>
              <w:left w:val="single" w:sz="6" w:space="0" w:color="000000"/>
              <w:bottom w:val="single" w:sz="6" w:space="0" w:color="000000"/>
              <w:right w:val="single" w:sz="6" w:space="0" w:color="000000"/>
            </w:tcBorders>
          </w:tcPr>
          <w:p w:rsidR="00841599" w:rsidRPr="00841599" w:rsidRDefault="00841599" w:rsidP="00841599">
            <w:pPr>
              <w:rPr>
                <w:color w:val="000000"/>
                <w:highlight w:val="yellow"/>
              </w:rPr>
            </w:pPr>
          </w:p>
        </w:tc>
        <w:tc>
          <w:tcPr>
            <w:tcW w:w="1710" w:type="dxa"/>
            <w:tcBorders>
              <w:top w:val="single" w:sz="6" w:space="0" w:color="000000"/>
              <w:left w:val="single" w:sz="6" w:space="0" w:color="000000"/>
              <w:bottom w:val="single" w:sz="6" w:space="0" w:color="000000"/>
              <w:right w:val="single" w:sz="6" w:space="0" w:color="000000"/>
            </w:tcBorders>
          </w:tcPr>
          <w:p w:rsidR="00841599" w:rsidRPr="00841599" w:rsidRDefault="00841599" w:rsidP="00841599">
            <w:pPr>
              <w:rPr>
                <w:color w:val="000000"/>
                <w:highlight w:val="yellow"/>
              </w:rPr>
            </w:pPr>
          </w:p>
        </w:tc>
      </w:tr>
      <w:tr w:rsidR="00841599" w:rsidRPr="00841599" w:rsidTr="00841599">
        <w:tc>
          <w:tcPr>
            <w:tcW w:w="2160" w:type="dxa"/>
            <w:tcBorders>
              <w:top w:val="single" w:sz="6" w:space="0" w:color="000000"/>
              <w:left w:val="single" w:sz="6" w:space="0" w:color="000000"/>
              <w:bottom w:val="single" w:sz="6" w:space="0" w:color="000000"/>
              <w:right w:val="single" w:sz="6" w:space="0" w:color="000000"/>
            </w:tcBorders>
            <w:hideMark/>
          </w:tcPr>
          <w:p w:rsidR="00841599" w:rsidRPr="00841599" w:rsidRDefault="00841599" w:rsidP="00841599">
            <w:pPr>
              <w:rPr>
                <w:color w:val="000000"/>
              </w:rPr>
            </w:pPr>
            <w:r w:rsidRPr="00841599">
              <w:rPr>
                <w:color w:val="000000"/>
              </w:rPr>
              <w:t>ACT Math</w:t>
            </w:r>
          </w:p>
        </w:tc>
        <w:tc>
          <w:tcPr>
            <w:tcW w:w="1620" w:type="dxa"/>
            <w:tcBorders>
              <w:top w:val="single" w:sz="6" w:space="0" w:color="000000"/>
              <w:left w:val="single" w:sz="6" w:space="0" w:color="000000"/>
              <w:bottom w:val="single" w:sz="6" w:space="0" w:color="000000"/>
              <w:right w:val="single" w:sz="6" w:space="0" w:color="000000"/>
            </w:tcBorders>
          </w:tcPr>
          <w:p w:rsidR="00841599" w:rsidRPr="00841599" w:rsidRDefault="00841599" w:rsidP="00841599">
            <w:pPr>
              <w:rPr>
                <w:color w:val="000000"/>
                <w:highlight w:val="yellow"/>
              </w:rPr>
            </w:pPr>
          </w:p>
        </w:tc>
        <w:tc>
          <w:tcPr>
            <w:tcW w:w="1710" w:type="dxa"/>
            <w:tcBorders>
              <w:top w:val="single" w:sz="6" w:space="0" w:color="000000"/>
              <w:left w:val="single" w:sz="6" w:space="0" w:color="000000"/>
              <w:bottom w:val="single" w:sz="6" w:space="0" w:color="000000"/>
              <w:right w:val="single" w:sz="6" w:space="0" w:color="000000"/>
            </w:tcBorders>
          </w:tcPr>
          <w:p w:rsidR="00841599" w:rsidRPr="00841599" w:rsidRDefault="00841599" w:rsidP="00841599">
            <w:pPr>
              <w:rPr>
                <w:color w:val="000000"/>
                <w:highlight w:val="yellow"/>
              </w:rPr>
            </w:pPr>
          </w:p>
        </w:tc>
      </w:tr>
      <w:tr w:rsidR="00841599" w:rsidRPr="00841599" w:rsidTr="00841599">
        <w:tc>
          <w:tcPr>
            <w:tcW w:w="2160" w:type="dxa"/>
            <w:tcBorders>
              <w:top w:val="single" w:sz="6" w:space="0" w:color="000000"/>
              <w:left w:val="single" w:sz="6" w:space="0" w:color="000000"/>
              <w:bottom w:val="single" w:sz="6" w:space="0" w:color="000000"/>
              <w:right w:val="single" w:sz="6" w:space="0" w:color="000000"/>
            </w:tcBorders>
            <w:hideMark/>
          </w:tcPr>
          <w:p w:rsidR="00841599" w:rsidRPr="00841599" w:rsidRDefault="00841599" w:rsidP="00841599">
            <w:pPr>
              <w:rPr>
                <w:color w:val="000000"/>
              </w:rPr>
            </w:pPr>
            <w:r w:rsidRPr="00841599">
              <w:rPr>
                <w:color w:val="000000"/>
              </w:rPr>
              <w:t>ACT English</w:t>
            </w:r>
          </w:p>
        </w:tc>
        <w:tc>
          <w:tcPr>
            <w:tcW w:w="1620" w:type="dxa"/>
            <w:tcBorders>
              <w:top w:val="single" w:sz="6" w:space="0" w:color="000000"/>
              <w:left w:val="single" w:sz="6" w:space="0" w:color="000000"/>
              <w:bottom w:val="single" w:sz="6" w:space="0" w:color="000000"/>
              <w:right w:val="single" w:sz="6" w:space="0" w:color="000000"/>
            </w:tcBorders>
          </w:tcPr>
          <w:p w:rsidR="00841599" w:rsidRPr="00841599" w:rsidRDefault="00841599" w:rsidP="00841599">
            <w:pPr>
              <w:rPr>
                <w:color w:val="000000"/>
                <w:highlight w:val="yellow"/>
              </w:rPr>
            </w:pPr>
          </w:p>
        </w:tc>
        <w:tc>
          <w:tcPr>
            <w:tcW w:w="1710" w:type="dxa"/>
            <w:tcBorders>
              <w:top w:val="single" w:sz="6" w:space="0" w:color="000000"/>
              <w:left w:val="single" w:sz="6" w:space="0" w:color="000000"/>
              <w:bottom w:val="single" w:sz="6" w:space="0" w:color="000000"/>
              <w:right w:val="single" w:sz="6" w:space="0" w:color="000000"/>
            </w:tcBorders>
          </w:tcPr>
          <w:p w:rsidR="00841599" w:rsidRPr="00841599" w:rsidRDefault="00841599" w:rsidP="00841599">
            <w:pPr>
              <w:rPr>
                <w:color w:val="000000"/>
                <w:highlight w:val="yellow"/>
              </w:rPr>
            </w:pPr>
          </w:p>
        </w:tc>
      </w:tr>
      <w:tr w:rsidR="00841599" w:rsidRPr="00841599" w:rsidTr="00841599">
        <w:tc>
          <w:tcPr>
            <w:tcW w:w="2160" w:type="dxa"/>
            <w:tcBorders>
              <w:top w:val="single" w:sz="6" w:space="0" w:color="000000"/>
              <w:left w:val="single" w:sz="6" w:space="0" w:color="000000"/>
              <w:bottom w:val="single" w:sz="6" w:space="0" w:color="000000"/>
              <w:right w:val="single" w:sz="6" w:space="0" w:color="000000"/>
            </w:tcBorders>
            <w:hideMark/>
          </w:tcPr>
          <w:p w:rsidR="00841599" w:rsidRPr="00841599" w:rsidRDefault="00841599" w:rsidP="00841599">
            <w:pPr>
              <w:rPr>
                <w:color w:val="000000"/>
              </w:rPr>
            </w:pPr>
            <w:r w:rsidRPr="00841599">
              <w:rPr>
                <w:color w:val="000000"/>
              </w:rPr>
              <w:t>ACT Writing</w:t>
            </w:r>
          </w:p>
        </w:tc>
        <w:tc>
          <w:tcPr>
            <w:tcW w:w="1620" w:type="dxa"/>
            <w:tcBorders>
              <w:top w:val="single" w:sz="6" w:space="0" w:color="000000"/>
              <w:left w:val="single" w:sz="6" w:space="0" w:color="000000"/>
              <w:bottom w:val="single" w:sz="6" w:space="0" w:color="000000"/>
              <w:right w:val="single" w:sz="6" w:space="0" w:color="000000"/>
            </w:tcBorders>
          </w:tcPr>
          <w:p w:rsidR="00841599" w:rsidRPr="00841599" w:rsidRDefault="00841599" w:rsidP="00841599">
            <w:pPr>
              <w:rPr>
                <w:color w:val="000000"/>
                <w:highlight w:val="yellow"/>
              </w:rPr>
            </w:pPr>
          </w:p>
        </w:tc>
        <w:tc>
          <w:tcPr>
            <w:tcW w:w="1710" w:type="dxa"/>
            <w:tcBorders>
              <w:top w:val="single" w:sz="6" w:space="0" w:color="000000"/>
              <w:left w:val="single" w:sz="6" w:space="0" w:color="000000"/>
              <w:bottom w:val="single" w:sz="6" w:space="0" w:color="000000"/>
              <w:right w:val="single" w:sz="6" w:space="0" w:color="000000"/>
            </w:tcBorders>
          </w:tcPr>
          <w:p w:rsidR="00841599" w:rsidRPr="00841599" w:rsidRDefault="00841599" w:rsidP="00841599">
            <w:pPr>
              <w:rPr>
                <w:color w:val="000000"/>
                <w:highlight w:val="yellow"/>
              </w:rPr>
            </w:pPr>
          </w:p>
        </w:tc>
      </w:tr>
    </w:tbl>
    <w:p w:rsidR="00841599" w:rsidRPr="00841599" w:rsidRDefault="00841599" w:rsidP="00841599">
      <w:pPr>
        <w:tabs>
          <w:tab w:val="left" w:pos="900"/>
        </w:tabs>
        <w:rPr>
          <w:color w:val="000000"/>
        </w:rPr>
      </w:pPr>
    </w:p>
    <w:p w:rsidR="00841599" w:rsidRPr="00841599" w:rsidRDefault="00841599" w:rsidP="00841599">
      <w:pPr>
        <w:tabs>
          <w:tab w:val="left" w:pos="900"/>
        </w:tabs>
        <w:rPr>
          <w:color w:val="000000"/>
        </w:rPr>
      </w:pPr>
    </w:p>
    <w:p w:rsidR="00841599" w:rsidRPr="004E3CC7" w:rsidRDefault="00841599" w:rsidP="00841599">
      <w:pPr>
        <w:rPr>
          <w:sz w:val="22"/>
          <w:szCs w:val="22"/>
        </w:rPr>
      </w:pPr>
      <w:r w:rsidRPr="004E3CC7">
        <w:rPr>
          <w:b/>
          <w:sz w:val="22"/>
          <w:szCs w:val="22"/>
        </w:rPr>
        <w:t xml:space="preserve">Section </w:t>
      </w:r>
      <w:r w:rsidR="004E3CC7">
        <w:rPr>
          <w:b/>
          <w:sz w:val="22"/>
          <w:szCs w:val="22"/>
        </w:rPr>
        <w:t>E (Academic Libraries language) – Removal of no longer relevant sentence regarding academic libraries</w:t>
      </w:r>
    </w:p>
    <w:p w:rsidR="00841599" w:rsidRPr="00841599" w:rsidRDefault="00841599" w:rsidP="00841599">
      <w:pPr>
        <w:pStyle w:val="ListParagraph"/>
        <w:spacing w:after="0" w:line="240" w:lineRule="auto"/>
        <w:rPr>
          <w:rFonts w:ascii="Times New Roman" w:hAnsi="Times New Roman"/>
          <w:sz w:val="20"/>
          <w:szCs w:val="20"/>
        </w:rPr>
      </w:pPr>
    </w:p>
    <w:p w:rsidR="00841599" w:rsidRPr="004E3CC7" w:rsidRDefault="00841599" w:rsidP="004E3CC7">
      <w:pPr>
        <w:rPr>
          <w:i/>
        </w:rPr>
      </w:pPr>
      <w:r w:rsidRPr="00841599">
        <w:rPr>
          <w:u w:val="single"/>
        </w:rPr>
        <w:t>Current sentence to be removed</w:t>
      </w:r>
      <w:r w:rsidRPr="00841599">
        <w:t>: “Library Collections: The CDS publishers will collect library data again when a new Academic Libraries Survey is in place.”</w:t>
      </w:r>
    </w:p>
    <w:p w:rsidR="00841599" w:rsidRPr="00841599" w:rsidRDefault="00841599" w:rsidP="00841599">
      <w:pPr>
        <w:ind w:left="360"/>
      </w:pPr>
    </w:p>
    <w:p w:rsidR="00841599" w:rsidRPr="004E3CC7" w:rsidRDefault="00841599" w:rsidP="004E3CC7">
      <w:pPr>
        <w:rPr>
          <w:b/>
          <w:sz w:val="22"/>
          <w:szCs w:val="22"/>
        </w:rPr>
      </w:pPr>
      <w:r w:rsidRPr="004E3CC7">
        <w:rPr>
          <w:b/>
          <w:sz w:val="22"/>
          <w:szCs w:val="22"/>
        </w:rPr>
        <w:t>Se</w:t>
      </w:r>
      <w:r w:rsidR="004E3CC7" w:rsidRPr="004E3CC7">
        <w:rPr>
          <w:b/>
          <w:sz w:val="22"/>
          <w:szCs w:val="22"/>
        </w:rPr>
        <w:t xml:space="preserve">ction H5 (Student Indebtedness) – Clarification of the terminology and methodology used to populate the indebtedness </w:t>
      </w:r>
      <w:r w:rsidR="004E3CC7">
        <w:rPr>
          <w:b/>
          <w:sz w:val="22"/>
          <w:szCs w:val="22"/>
        </w:rPr>
        <w:t xml:space="preserve">grid. Additionally, </w:t>
      </w:r>
      <w:r w:rsidR="004E3CC7" w:rsidRPr="004E3CC7">
        <w:rPr>
          <w:b/>
          <w:sz w:val="22"/>
          <w:szCs w:val="22"/>
        </w:rPr>
        <w:t xml:space="preserve">a new definition </w:t>
      </w:r>
      <w:r w:rsidR="004E3CC7">
        <w:rPr>
          <w:b/>
          <w:sz w:val="22"/>
          <w:szCs w:val="22"/>
        </w:rPr>
        <w:t xml:space="preserve">added to </w:t>
      </w:r>
      <w:r w:rsidR="004C38C8">
        <w:rPr>
          <w:b/>
          <w:sz w:val="22"/>
          <w:szCs w:val="22"/>
        </w:rPr>
        <w:t xml:space="preserve">the glossary </w:t>
      </w:r>
      <w:r w:rsidR="004E3CC7" w:rsidRPr="004E3CC7">
        <w:rPr>
          <w:b/>
          <w:sz w:val="22"/>
          <w:szCs w:val="22"/>
        </w:rPr>
        <w:t>for the section.</w:t>
      </w:r>
    </w:p>
    <w:p w:rsidR="004E3CC7" w:rsidRPr="004E3CC7" w:rsidRDefault="004E3CC7" w:rsidP="004E3CC7">
      <w:pPr>
        <w:rPr>
          <w:b/>
        </w:rPr>
      </w:pPr>
    </w:p>
    <w:p w:rsidR="00841599" w:rsidRPr="00FC4D85" w:rsidRDefault="00841599" w:rsidP="00FC4D85">
      <w:r w:rsidRPr="00FC4D85">
        <w:rPr>
          <w:color w:val="000000"/>
        </w:rPr>
        <w:t xml:space="preserve">H5. Number and percent of students in class (defined in H4 above) borrowing from federal, nonfederal, and any loan sources, and the average (or mean) amount borrowed. </w:t>
      </w:r>
      <w:r w:rsidRPr="00FC4D85">
        <w:rPr>
          <w:color w:val="FF0000"/>
          <w:highlight w:val="yellow"/>
        </w:rPr>
        <w:t>NOTE: The “Average per-undergraduate-borrower cumulative principal borrowed,” is designed to provide better information about student borrowing from federal and nonfederal (institutional, state, commercial) sources. The numbers, percentages, and averages for each row should be based only on the loan source specified for the particular row</w:t>
      </w:r>
      <w:r w:rsidRPr="00FC4D85">
        <w:rPr>
          <w:color w:val="000000"/>
          <w:highlight w:val="yellow"/>
        </w:rPr>
        <w:t xml:space="preserve">. For example, the federal loans average </w:t>
      </w:r>
      <w:r w:rsidRPr="00FC4D85">
        <w:rPr>
          <w:color w:val="FF0000"/>
          <w:highlight w:val="yellow"/>
        </w:rPr>
        <w:t xml:space="preserve">(row b) </w:t>
      </w:r>
      <w:r w:rsidRPr="00FC4D85">
        <w:rPr>
          <w:color w:val="000000"/>
          <w:highlight w:val="yellow"/>
        </w:rPr>
        <w:t xml:space="preserve">should only be the cumulative average of federal loans and the private loans average </w:t>
      </w:r>
      <w:r w:rsidRPr="00FC4D85">
        <w:rPr>
          <w:color w:val="FF0000"/>
          <w:highlight w:val="yellow"/>
        </w:rPr>
        <w:t xml:space="preserve">(row e) </w:t>
      </w:r>
      <w:r w:rsidRPr="00FC4D85">
        <w:rPr>
          <w:color w:val="000000"/>
          <w:highlight w:val="yellow"/>
        </w:rPr>
        <w:t>should only be the cumulative average of private loans.</w:t>
      </w:r>
    </w:p>
    <w:p w:rsidR="00841599" w:rsidRPr="00841599" w:rsidRDefault="00841599" w:rsidP="00841599">
      <w:pPr>
        <w:pStyle w:val="ListParagraph"/>
        <w:spacing w:after="0" w:line="240" w:lineRule="auto"/>
        <w:rPr>
          <w:rFonts w:ascii="Times New Roman" w:hAnsi="Times New Roman"/>
          <w:sz w:val="20"/>
          <w:szCs w:val="20"/>
        </w:rPr>
      </w:pPr>
    </w:p>
    <w:tbl>
      <w:tblPr>
        <w:tblW w:w="0" w:type="auto"/>
        <w:tblCellMar>
          <w:left w:w="0" w:type="dxa"/>
          <w:right w:w="0" w:type="dxa"/>
        </w:tblCellMar>
        <w:tblLook w:val="04A0" w:firstRow="1" w:lastRow="0" w:firstColumn="1" w:lastColumn="0" w:noHBand="0" w:noVBand="1"/>
      </w:tblPr>
      <w:tblGrid>
        <w:gridCol w:w="3705"/>
        <w:gridCol w:w="1577"/>
        <w:gridCol w:w="1871"/>
        <w:gridCol w:w="2187"/>
      </w:tblGrid>
      <w:tr w:rsidR="00841599" w:rsidRPr="00841599" w:rsidTr="00841599">
        <w:tc>
          <w:tcPr>
            <w:tcW w:w="4068"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841599" w:rsidRPr="00841599" w:rsidRDefault="00841599">
            <w:r w:rsidRPr="004E3CC7">
              <w:lastRenderedPageBreak/>
              <w:t>Source/Type of Loans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r w:rsidRPr="00841599">
              <w:t xml:space="preserve">Number in the class (defined in H4 </w:t>
            </w:r>
            <w:r w:rsidRPr="004E3CC7">
              <w:t xml:space="preserve">above) who borrowed from the </w:t>
            </w:r>
            <w:r w:rsidRPr="004E3CC7">
              <w:rPr>
                <w:highlight w:val="yellow"/>
              </w:rPr>
              <w:t xml:space="preserve">types of </w:t>
            </w:r>
            <w:r w:rsidRPr="00841599">
              <w:rPr>
                <w:highlight w:val="yellow"/>
              </w:rPr>
              <w:t>loans specified</w:t>
            </w:r>
            <w:r w:rsidRPr="00841599">
              <w:t xml:space="preserve"> in the first column</w:t>
            </w:r>
          </w:p>
        </w:tc>
        <w:tc>
          <w:tcPr>
            <w:tcW w:w="1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r w:rsidRPr="00841599">
              <w:t xml:space="preserve">Percent of the class (defined above) who </w:t>
            </w:r>
            <w:r w:rsidRPr="004E3CC7">
              <w:t>borrowed from the</w:t>
            </w:r>
            <w:r w:rsidR="004E3CC7" w:rsidRPr="004E3CC7">
              <w:rPr>
                <w:highlight w:val="yellow"/>
              </w:rPr>
              <w:t xml:space="preserve"> </w:t>
            </w:r>
            <w:r w:rsidRPr="00841599">
              <w:rPr>
                <w:highlight w:val="yellow"/>
              </w:rPr>
              <w:t>types of loans specified</w:t>
            </w:r>
            <w:r w:rsidRPr="00841599">
              <w:t xml:space="preserve"> in the first column (nearest 1%</w:t>
            </w:r>
            <w:r>
              <w:t>)</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r w:rsidRPr="00841599">
              <w:t>Average per-undergraduate-borrower cumulative principal borrowed</w:t>
            </w:r>
            <w:r w:rsidRPr="00841599">
              <w:rPr>
                <w:color w:val="FF0000"/>
              </w:rPr>
              <w:t xml:space="preserve"> </w:t>
            </w:r>
            <w:r w:rsidRPr="004E3CC7">
              <w:t>from the</w:t>
            </w:r>
            <w:r w:rsidRPr="004E3CC7">
              <w:rPr>
                <w:highlight w:val="yellow"/>
              </w:rPr>
              <w:t xml:space="preserve"> </w:t>
            </w:r>
            <w:r w:rsidRPr="00841599">
              <w:rPr>
                <w:highlight w:val="yellow"/>
              </w:rPr>
              <w:t>types of loans specified</w:t>
            </w:r>
            <w:r w:rsidRPr="00841599">
              <w:t xml:space="preserve"> in the first column (nearest $1)</w:t>
            </w:r>
          </w:p>
        </w:tc>
      </w:tr>
      <w:tr w:rsidR="00841599" w:rsidRPr="00841599" w:rsidTr="00841599">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599" w:rsidRPr="00841599" w:rsidRDefault="00841599">
            <w:pPr>
              <w:ind w:left="720" w:hanging="360"/>
            </w:pPr>
            <w:r w:rsidRPr="00841599">
              <w:t>a)       Any loan program: Federal Perkins, Federal Stafford Subsidized and Unsubsidized, institutional, state, private loans that your institution is aware of, etc. Include both Federal Direct Student Loans and Federal Family Education Loans.</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tc>
        <w:tc>
          <w:tcPr>
            <w:tcW w:w="1954" w:type="dxa"/>
            <w:tcBorders>
              <w:top w:val="nil"/>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r w:rsidRPr="00841599">
              <w: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r w:rsidRPr="00841599">
              <w:t>$</w:t>
            </w:r>
          </w:p>
        </w:tc>
      </w:tr>
      <w:tr w:rsidR="00841599" w:rsidRPr="00841599" w:rsidTr="00841599">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1599" w:rsidRPr="00841599" w:rsidRDefault="00841599">
            <w:pPr>
              <w:ind w:left="720" w:hanging="360"/>
            </w:pPr>
            <w:r w:rsidRPr="00841599">
              <w:t>b)       Federal loan programs: Federal Perkins, Federal Stafford Subsidized and Unsubsidized. Include both Federal Direct Student Loans and Federal Family Education Loans.</w:t>
            </w:r>
          </w:p>
          <w:p w:rsidR="00841599" w:rsidRPr="00841599" w:rsidRDefault="00841599">
            <w:pPr>
              <w:ind w:left="720"/>
            </w:pP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tc>
        <w:tc>
          <w:tcPr>
            <w:tcW w:w="1954" w:type="dxa"/>
            <w:tcBorders>
              <w:top w:val="nil"/>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r w:rsidRPr="00841599">
              <w: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r w:rsidRPr="00841599">
              <w:t>$</w:t>
            </w:r>
          </w:p>
        </w:tc>
      </w:tr>
      <w:tr w:rsidR="00841599" w:rsidRPr="00841599" w:rsidTr="00841599">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599" w:rsidRPr="00841599" w:rsidRDefault="00841599">
            <w:pPr>
              <w:ind w:left="720" w:hanging="360"/>
            </w:pPr>
            <w:r w:rsidRPr="00841599">
              <w:t>c)       Institutional loan programs.</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tc>
        <w:tc>
          <w:tcPr>
            <w:tcW w:w="1954" w:type="dxa"/>
            <w:tcBorders>
              <w:top w:val="nil"/>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r w:rsidRPr="00841599">
              <w: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r w:rsidRPr="00841599">
              <w:t>$</w:t>
            </w:r>
          </w:p>
        </w:tc>
      </w:tr>
      <w:tr w:rsidR="00841599" w:rsidRPr="00841599" w:rsidTr="00841599">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599" w:rsidRPr="00841599" w:rsidRDefault="00841599">
            <w:pPr>
              <w:ind w:left="720" w:hanging="360"/>
            </w:pPr>
            <w:r w:rsidRPr="00841599">
              <w:t>d)       State loan programs.</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tc>
        <w:tc>
          <w:tcPr>
            <w:tcW w:w="1954" w:type="dxa"/>
            <w:tcBorders>
              <w:top w:val="nil"/>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r w:rsidRPr="00841599">
              <w: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r w:rsidRPr="00841599">
              <w:t>$</w:t>
            </w:r>
          </w:p>
        </w:tc>
      </w:tr>
      <w:tr w:rsidR="00841599" w:rsidRPr="00841599" w:rsidTr="00841599">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599" w:rsidRPr="00841599" w:rsidRDefault="00841599">
            <w:pPr>
              <w:ind w:left="720" w:hanging="360"/>
            </w:pPr>
            <w:r w:rsidRPr="00841599">
              <w:t xml:space="preserve">e)       </w:t>
            </w:r>
            <w:r w:rsidRPr="004E3CC7">
              <w:t>Private student loans made by a bank or lender.</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tc>
        <w:tc>
          <w:tcPr>
            <w:tcW w:w="1954" w:type="dxa"/>
            <w:tcBorders>
              <w:top w:val="nil"/>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r w:rsidRPr="00841599">
              <w: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841599" w:rsidRPr="00841599" w:rsidRDefault="00841599">
            <w:r w:rsidRPr="00841599">
              <w:t>$</w:t>
            </w:r>
          </w:p>
        </w:tc>
      </w:tr>
    </w:tbl>
    <w:p w:rsidR="00F67ED4" w:rsidRDefault="00F67ED4"/>
    <w:p w:rsidR="00841599" w:rsidRPr="00841599" w:rsidRDefault="00841599" w:rsidP="00841599">
      <w:pPr>
        <w:rPr>
          <w:i/>
        </w:rPr>
      </w:pPr>
      <w:r w:rsidRPr="00841599">
        <w:rPr>
          <w:i/>
        </w:rPr>
        <w:t>Additionally, a definition f</w:t>
      </w:r>
      <w:r>
        <w:rPr>
          <w:i/>
        </w:rPr>
        <w:t>or “private students loans” has</w:t>
      </w:r>
      <w:r w:rsidRPr="00841599">
        <w:rPr>
          <w:i/>
        </w:rPr>
        <w:t xml:space="preserve"> be</w:t>
      </w:r>
      <w:r>
        <w:rPr>
          <w:i/>
        </w:rPr>
        <w:t>en</w:t>
      </w:r>
      <w:r w:rsidRPr="00841599">
        <w:rPr>
          <w:i/>
        </w:rPr>
        <w:t xml:space="preserve"> added to the glossary that reads: “Private student loans: A nonfederal loan made by a lender such as a bank, credit union or private lender used to pay for up to the annual cost of education, less any financial aid received.”</w:t>
      </w:r>
    </w:p>
    <w:p w:rsidR="00841599" w:rsidRPr="00841599" w:rsidRDefault="00841599"/>
    <w:sectPr w:rsidR="00841599" w:rsidRPr="0084159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2DD" w:rsidRDefault="001712DD" w:rsidP="004E3CC7">
      <w:r>
        <w:separator/>
      </w:r>
    </w:p>
  </w:endnote>
  <w:endnote w:type="continuationSeparator" w:id="0">
    <w:p w:rsidR="001712DD" w:rsidRDefault="001712DD" w:rsidP="004E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283437"/>
      <w:docPartObj>
        <w:docPartGallery w:val="Page Numbers (Bottom of Page)"/>
        <w:docPartUnique/>
      </w:docPartObj>
    </w:sdtPr>
    <w:sdtEndPr/>
    <w:sdtContent>
      <w:sdt>
        <w:sdtPr>
          <w:id w:val="-1705238520"/>
          <w:docPartObj>
            <w:docPartGallery w:val="Page Numbers (Top of Page)"/>
            <w:docPartUnique/>
          </w:docPartObj>
        </w:sdtPr>
        <w:sdtEndPr/>
        <w:sdtContent>
          <w:p w:rsidR="004E3CC7" w:rsidRDefault="004E3CC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E336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3363">
              <w:rPr>
                <w:b/>
                <w:bCs/>
                <w:noProof/>
              </w:rPr>
              <w:t>2</w:t>
            </w:r>
            <w:r>
              <w:rPr>
                <w:b/>
                <w:bCs/>
                <w:sz w:val="24"/>
                <w:szCs w:val="24"/>
              </w:rPr>
              <w:fldChar w:fldCharType="end"/>
            </w:r>
          </w:p>
        </w:sdtContent>
      </w:sdt>
    </w:sdtContent>
  </w:sdt>
  <w:p w:rsidR="004E3CC7" w:rsidRDefault="004E3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2DD" w:rsidRDefault="001712DD" w:rsidP="004E3CC7">
      <w:r>
        <w:separator/>
      </w:r>
    </w:p>
  </w:footnote>
  <w:footnote w:type="continuationSeparator" w:id="0">
    <w:p w:rsidR="001712DD" w:rsidRDefault="001712DD" w:rsidP="004E3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CC7" w:rsidRDefault="004E3CC7">
    <w:pPr>
      <w:pStyle w:val="Header"/>
    </w:pPr>
    <w:r>
      <w:t>CDS Changes 2016-2017</w:t>
    </w:r>
  </w:p>
  <w:p w:rsidR="004E3CC7" w:rsidRDefault="004E3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6077"/>
    <w:multiLevelType w:val="hybridMultilevel"/>
    <w:tmpl w:val="AC8AC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EA08DB"/>
    <w:multiLevelType w:val="hybridMultilevel"/>
    <w:tmpl w:val="B3601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0065E0"/>
    <w:multiLevelType w:val="hybridMultilevel"/>
    <w:tmpl w:val="CC64A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363171"/>
    <w:multiLevelType w:val="hybridMultilevel"/>
    <w:tmpl w:val="0DCA5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599"/>
    <w:rsid w:val="001712DD"/>
    <w:rsid w:val="004C38C8"/>
    <w:rsid w:val="004E3CC7"/>
    <w:rsid w:val="00567DDB"/>
    <w:rsid w:val="00710F00"/>
    <w:rsid w:val="00841599"/>
    <w:rsid w:val="009E3363"/>
    <w:rsid w:val="00B233F2"/>
    <w:rsid w:val="00F67ED4"/>
    <w:rsid w:val="00FC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BB1F9-AFA1-4AF2-8219-3EE10B76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599"/>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599"/>
    <w:pPr>
      <w:autoSpaceDE/>
      <w:autoSpaceDN/>
      <w:spacing w:after="200" w:line="276" w:lineRule="auto"/>
      <w:ind w:left="720"/>
      <w:contextualSpacing/>
    </w:pPr>
    <w:rPr>
      <w:rFonts w:ascii="Calibri" w:eastAsia="Calibri" w:hAnsi="Calibri"/>
      <w:sz w:val="22"/>
      <w:szCs w:val="22"/>
    </w:rPr>
  </w:style>
  <w:style w:type="paragraph" w:styleId="NoSpacing">
    <w:name w:val="No Spacing"/>
    <w:uiPriority w:val="1"/>
    <w:qFormat/>
    <w:rsid w:val="00841599"/>
    <w:pPr>
      <w:autoSpaceDE w:val="0"/>
      <w:autoSpaceDN w:val="0"/>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E3CC7"/>
    <w:pPr>
      <w:tabs>
        <w:tab w:val="center" w:pos="4680"/>
        <w:tab w:val="right" w:pos="9360"/>
      </w:tabs>
    </w:pPr>
  </w:style>
  <w:style w:type="character" w:customStyle="1" w:styleId="HeaderChar">
    <w:name w:val="Header Char"/>
    <w:basedOn w:val="DefaultParagraphFont"/>
    <w:link w:val="Header"/>
    <w:uiPriority w:val="99"/>
    <w:rsid w:val="004E3CC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3CC7"/>
    <w:pPr>
      <w:tabs>
        <w:tab w:val="center" w:pos="4680"/>
        <w:tab w:val="right" w:pos="9360"/>
      </w:tabs>
    </w:pPr>
  </w:style>
  <w:style w:type="character" w:customStyle="1" w:styleId="FooterChar">
    <w:name w:val="Footer Char"/>
    <w:basedOn w:val="DefaultParagraphFont"/>
    <w:link w:val="Footer"/>
    <w:uiPriority w:val="99"/>
    <w:rsid w:val="004E3CC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458058">
      <w:bodyDiv w:val="1"/>
      <w:marLeft w:val="0"/>
      <w:marRight w:val="0"/>
      <w:marTop w:val="0"/>
      <w:marBottom w:val="0"/>
      <w:divBdr>
        <w:top w:val="none" w:sz="0" w:space="0" w:color="auto"/>
        <w:left w:val="none" w:sz="0" w:space="0" w:color="auto"/>
        <w:bottom w:val="none" w:sz="0" w:space="0" w:color="auto"/>
        <w:right w:val="none" w:sz="0" w:space="0" w:color="auto"/>
      </w:divBdr>
    </w:div>
    <w:div w:id="139998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Nelnet, Inc.</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Gazda, Matthew</dc:creator>
  <cp:keywords/>
  <dc:description/>
  <cp:lastModifiedBy>Olson, Erin</cp:lastModifiedBy>
  <cp:revision>2</cp:revision>
  <dcterms:created xsi:type="dcterms:W3CDTF">2017-05-01T15:25:00Z</dcterms:created>
  <dcterms:modified xsi:type="dcterms:W3CDTF">2017-05-01T15:25:00Z</dcterms:modified>
</cp:coreProperties>
</file>